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656" w:rsidRPr="00437686" w:rsidRDefault="00585656" w:rsidP="00585656">
      <w:pPr>
        <w:spacing w:before="120"/>
        <w:rPr>
          <w:b/>
          <w:u w:val="single"/>
        </w:rPr>
      </w:pPr>
      <w:r w:rsidRPr="00437686">
        <w:rPr>
          <w:b/>
          <w:u w:val="single"/>
        </w:rPr>
        <w:t>BOOKS &amp; LITERATURE</w:t>
      </w:r>
    </w:p>
    <w:p w:rsidR="00585656" w:rsidRPr="00437686" w:rsidRDefault="00585656" w:rsidP="00585656">
      <w:pPr>
        <w:ind w:left="450" w:hanging="450"/>
        <w:rPr>
          <w:sz w:val="20"/>
          <w:szCs w:val="20"/>
        </w:rPr>
      </w:pPr>
      <w:r w:rsidRPr="00437686">
        <w:rPr>
          <w:sz w:val="20"/>
          <w:szCs w:val="20"/>
        </w:rPr>
        <w:t xml:space="preserve">1.  </w:t>
      </w:r>
      <w:r w:rsidRPr="00437686">
        <w:rPr>
          <w:sz w:val="20"/>
          <w:szCs w:val="20"/>
        </w:rPr>
        <w:tab/>
      </w:r>
      <w:proofErr w:type="spellStart"/>
      <w:r w:rsidRPr="00437686">
        <w:rPr>
          <w:sz w:val="20"/>
          <w:szCs w:val="20"/>
        </w:rPr>
        <w:t>Immunobiology</w:t>
      </w:r>
      <w:proofErr w:type="spellEnd"/>
      <w:r w:rsidRPr="00437686">
        <w:rPr>
          <w:sz w:val="20"/>
          <w:szCs w:val="20"/>
        </w:rPr>
        <w:t xml:space="preserve">:   </w:t>
      </w:r>
      <w:proofErr w:type="spellStart"/>
      <w:r w:rsidRPr="00437686">
        <w:rPr>
          <w:sz w:val="20"/>
          <w:szCs w:val="20"/>
        </w:rPr>
        <w:t>Janaway</w:t>
      </w:r>
      <w:proofErr w:type="spellEnd"/>
      <w:r w:rsidRPr="00437686">
        <w:rPr>
          <w:sz w:val="20"/>
          <w:szCs w:val="20"/>
        </w:rPr>
        <w:t xml:space="preserve"> et al., (2001).  (The book is available on net FREE on </w:t>
      </w:r>
      <w:proofErr w:type="spellStart"/>
      <w:r w:rsidRPr="00437686">
        <w:rPr>
          <w:sz w:val="20"/>
          <w:szCs w:val="20"/>
        </w:rPr>
        <w:t>Pubmed</w:t>
      </w:r>
      <w:proofErr w:type="spellEnd"/>
      <w:r w:rsidRPr="00437686">
        <w:rPr>
          <w:sz w:val="20"/>
          <w:szCs w:val="20"/>
        </w:rPr>
        <w:t xml:space="preserve"> @ </w:t>
      </w:r>
      <w:hyperlink r:id="rId5" w:history="1">
        <w:r w:rsidRPr="00437686">
          <w:rPr>
            <w:sz w:val="20"/>
            <w:szCs w:val="20"/>
          </w:rPr>
          <w:t>WWW.ncbi.nlm.nih</w:t>
        </w:r>
      </w:hyperlink>
      <w:r w:rsidRPr="00437686">
        <w:rPr>
          <w:sz w:val="20"/>
          <w:szCs w:val="20"/>
        </w:rPr>
        <w:t xml:space="preserve">/gov/pubmed   (choose books and type in </w:t>
      </w:r>
      <w:proofErr w:type="spellStart"/>
      <w:r w:rsidRPr="00437686">
        <w:rPr>
          <w:sz w:val="20"/>
          <w:szCs w:val="20"/>
        </w:rPr>
        <w:t>Immunobiology</w:t>
      </w:r>
      <w:proofErr w:type="spellEnd"/>
      <w:r w:rsidRPr="00437686">
        <w:rPr>
          <w:sz w:val="20"/>
          <w:szCs w:val="20"/>
        </w:rPr>
        <w:t xml:space="preserve"> in dialog </w:t>
      </w:r>
      <w:proofErr w:type="gramStart"/>
      <w:r w:rsidRPr="00437686">
        <w:rPr>
          <w:sz w:val="20"/>
          <w:szCs w:val="20"/>
        </w:rPr>
        <w:t>box )</w:t>
      </w:r>
      <w:proofErr w:type="gramEnd"/>
    </w:p>
    <w:p w:rsidR="00585656" w:rsidRPr="00437686" w:rsidRDefault="00585656" w:rsidP="00585656">
      <w:pPr>
        <w:ind w:left="450" w:hanging="450"/>
        <w:rPr>
          <w:sz w:val="20"/>
          <w:szCs w:val="20"/>
        </w:rPr>
      </w:pPr>
      <w:r w:rsidRPr="00437686">
        <w:rPr>
          <w:sz w:val="20"/>
          <w:szCs w:val="20"/>
        </w:rPr>
        <w:t xml:space="preserve">2.   </w:t>
      </w:r>
      <w:r w:rsidRPr="00437686">
        <w:rPr>
          <w:sz w:val="20"/>
          <w:szCs w:val="20"/>
        </w:rPr>
        <w:tab/>
        <w:t xml:space="preserve">Essential Immunology.   </w:t>
      </w:r>
      <w:proofErr w:type="spellStart"/>
      <w:r w:rsidRPr="00437686">
        <w:rPr>
          <w:sz w:val="20"/>
          <w:szCs w:val="20"/>
        </w:rPr>
        <w:t>Roitt</w:t>
      </w:r>
      <w:proofErr w:type="spellEnd"/>
      <w:r w:rsidRPr="00437686">
        <w:rPr>
          <w:sz w:val="20"/>
          <w:szCs w:val="20"/>
        </w:rPr>
        <w:t>, I et al</w:t>
      </w:r>
      <w:proofErr w:type="gramStart"/>
      <w:r w:rsidRPr="00437686">
        <w:rPr>
          <w:sz w:val="20"/>
          <w:szCs w:val="20"/>
        </w:rPr>
        <w:t>.,</w:t>
      </w:r>
      <w:proofErr w:type="gramEnd"/>
      <w:r w:rsidRPr="00437686">
        <w:rPr>
          <w:sz w:val="20"/>
          <w:szCs w:val="20"/>
        </w:rPr>
        <w:t xml:space="preserve"> </w:t>
      </w:r>
    </w:p>
    <w:p w:rsidR="00585656" w:rsidRPr="00437686" w:rsidRDefault="00585656" w:rsidP="00585656">
      <w:pPr>
        <w:ind w:left="450" w:hanging="450"/>
        <w:rPr>
          <w:sz w:val="20"/>
          <w:szCs w:val="20"/>
        </w:rPr>
      </w:pPr>
      <w:r w:rsidRPr="00437686">
        <w:rPr>
          <w:sz w:val="20"/>
          <w:szCs w:val="20"/>
        </w:rPr>
        <w:t>3.</w:t>
      </w:r>
      <w:r w:rsidRPr="00437686">
        <w:rPr>
          <w:sz w:val="20"/>
          <w:szCs w:val="20"/>
        </w:rPr>
        <w:tab/>
      </w:r>
      <w:proofErr w:type="gramStart"/>
      <w:r w:rsidRPr="00437686">
        <w:rPr>
          <w:sz w:val="20"/>
          <w:szCs w:val="20"/>
        </w:rPr>
        <w:t>http</w:t>
      </w:r>
      <w:proofErr w:type="gramEnd"/>
      <w:r w:rsidRPr="00437686">
        <w:rPr>
          <w:sz w:val="20"/>
          <w:szCs w:val="20"/>
        </w:rPr>
        <w:t>//: pathmicro.med.sc.edu</w:t>
      </w:r>
    </w:p>
    <w:p w:rsidR="00585656" w:rsidRPr="00437686" w:rsidRDefault="00585656" w:rsidP="00585656">
      <w:pPr>
        <w:ind w:left="450" w:hanging="450"/>
        <w:rPr>
          <w:sz w:val="20"/>
          <w:szCs w:val="20"/>
        </w:rPr>
      </w:pPr>
      <w:r w:rsidRPr="00437686">
        <w:rPr>
          <w:sz w:val="20"/>
          <w:szCs w:val="20"/>
        </w:rPr>
        <w:t xml:space="preserve">4. </w:t>
      </w:r>
      <w:r w:rsidRPr="00437686">
        <w:rPr>
          <w:sz w:val="20"/>
          <w:szCs w:val="20"/>
        </w:rPr>
        <w:tab/>
        <w:t>Book available, for download, from books for free.</w:t>
      </w:r>
    </w:p>
    <w:p w:rsidR="00585656" w:rsidRPr="00437686" w:rsidRDefault="00585656" w:rsidP="00585656">
      <w:pPr>
        <w:ind w:left="450" w:hanging="450"/>
        <w:rPr>
          <w:sz w:val="20"/>
          <w:szCs w:val="20"/>
        </w:rPr>
      </w:pPr>
      <w:r w:rsidRPr="00437686">
        <w:rPr>
          <w:sz w:val="20"/>
          <w:szCs w:val="20"/>
        </w:rPr>
        <w:t xml:space="preserve">5.    </w:t>
      </w:r>
      <w:r w:rsidRPr="00437686">
        <w:rPr>
          <w:sz w:val="20"/>
          <w:szCs w:val="20"/>
        </w:rPr>
        <w:tab/>
        <w:t xml:space="preserve">HEC </w:t>
      </w:r>
      <w:proofErr w:type="spellStart"/>
      <w:r w:rsidRPr="00437686">
        <w:rPr>
          <w:sz w:val="20"/>
          <w:szCs w:val="20"/>
        </w:rPr>
        <w:t>Digitial</w:t>
      </w:r>
      <w:proofErr w:type="spellEnd"/>
      <w:r w:rsidRPr="00437686">
        <w:rPr>
          <w:sz w:val="20"/>
          <w:szCs w:val="20"/>
        </w:rPr>
        <w:t xml:space="preserve"> library.  &amp; research articles given in class.</w:t>
      </w:r>
    </w:p>
    <w:p w:rsidR="00585656" w:rsidRPr="00437686" w:rsidRDefault="00585656" w:rsidP="00585656">
      <w:pPr>
        <w:ind w:left="450" w:hanging="450"/>
        <w:rPr>
          <w:sz w:val="20"/>
          <w:szCs w:val="20"/>
        </w:rPr>
      </w:pPr>
      <w:r w:rsidRPr="00437686">
        <w:rPr>
          <w:sz w:val="20"/>
          <w:szCs w:val="20"/>
        </w:rPr>
        <w:t>6.</w:t>
      </w:r>
      <w:r w:rsidRPr="00437686">
        <w:rPr>
          <w:rFonts w:ascii="Arial" w:hAnsi="Arial" w:cs="Arial"/>
          <w:b/>
          <w:bCs/>
          <w:color w:val="000000"/>
          <w:sz w:val="20"/>
          <w:szCs w:val="20"/>
        </w:rPr>
        <w:tab/>
      </w:r>
      <w:r w:rsidRPr="00437686">
        <w:rPr>
          <w:sz w:val="20"/>
          <w:szCs w:val="20"/>
        </w:rPr>
        <w:t xml:space="preserve">The Biochemistry of Disease: by John W. </w:t>
      </w:r>
      <w:proofErr w:type="spellStart"/>
      <w:r w:rsidRPr="00437686">
        <w:rPr>
          <w:sz w:val="20"/>
          <w:szCs w:val="20"/>
        </w:rPr>
        <w:t>Kozarich</w:t>
      </w:r>
      <w:proofErr w:type="spellEnd"/>
    </w:p>
    <w:p w:rsidR="00585656" w:rsidRPr="00437686" w:rsidRDefault="00585656" w:rsidP="00585656">
      <w:pPr>
        <w:pBdr>
          <w:bottom w:val="double" w:sz="6" w:space="1" w:color="auto"/>
        </w:pBdr>
        <w:ind w:left="450" w:hanging="450"/>
        <w:rPr>
          <w:rFonts w:ascii="Arial" w:hAnsi="Arial" w:cs="Arial"/>
          <w:color w:val="000000"/>
          <w:sz w:val="20"/>
          <w:szCs w:val="20"/>
        </w:rPr>
      </w:pPr>
      <w:r w:rsidRPr="00437686">
        <w:rPr>
          <w:sz w:val="20"/>
          <w:szCs w:val="20"/>
        </w:rPr>
        <w:t>7.</w:t>
      </w:r>
      <w:r w:rsidRPr="00437686">
        <w:rPr>
          <w:sz w:val="20"/>
          <w:szCs w:val="20"/>
        </w:rPr>
        <w:tab/>
        <w:t>Annual Review of Biochemistry, July 2009, Vol. 78, Pages 55-63</w:t>
      </w:r>
    </w:p>
    <w:p w:rsidR="00585656" w:rsidRDefault="00585656" w:rsidP="00CF6D50">
      <w:pPr>
        <w:spacing w:line="240" w:lineRule="atLeast"/>
        <w:rPr>
          <w:b/>
          <w:bCs/>
          <w:color w:val="000000" w:themeColor="text1"/>
        </w:rPr>
      </w:pPr>
    </w:p>
    <w:p w:rsidR="00585656" w:rsidRDefault="00585656" w:rsidP="00CF6D50">
      <w:pPr>
        <w:spacing w:line="240" w:lineRule="atLeast"/>
        <w:rPr>
          <w:b/>
          <w:bCs/>
          <w:color w:val="000000" w:themeColor="text1"/>
        </w:rPr>
      </w:pPr>
      <w:bookmarkStart w:id="0" w:name="_GoBack"/>
      <w:bookmarkEnd w:id="0"/>
    </w:p>
    <w:p w:rsidR="00585656" w:rsidRDefault="00585656" w:rsidP="00CF6D50">
      <w:pPr>
        <w:spacing w:line="240" w:lineRule="atLeast"/>
        <w:rPr>
          <w:b/>
          <w:bCs/>
          <w:color w:val="000000" w:themeColor="text1"/>
        </w:rPr>
      </w:pPr>
      <w:r>
        <w:rPr>
          <w:b/>
          <w:bCs/>
          <w:color w:val="000000" w:themeColor="text1"/>
        </w:rPr>
        <w:t>Reading literature</w:t>
      </w:r>
    </w:p>
    <w:p w:rsidR="00585656" w:rsidRDefault="00585656" w:rsidP="00CF6D50">
      <w:pPr>
        <w:spacing w:line="240" w:lineRule="atLeast"/>
        <w:rPr>
          <w:b/>
          <w:bCs/>
          <w:color w:val="000000" w:themeColor="text1"/>
        </w:rPr>
      </w:pPr>
    </w:p>
    <w:p w:rsidR="00C455B9" w:rsidRPr="00AE2262" w:rsidRDefault="001D6453" w:rsidP="00CF6D50">
      <w:pPr>
        <w:spacing w:line="240" w:lineRule="atLeast"/>
        <w:rPr>
          <w:color w:val="000000" w:themeColor="text1"/>
          <w:shd w:val="clear" w:color="auto" w:fill="FFFFFF"/>
        </w:rPr>
      </w:pPr>
      <w:proofErr w:type="spellStart"/>
      <w:r w:rsidRPr="00AE2262">
        <w:rPr>
          <w:b/>
          <w:bCs/>
          <w:color w:val="000000" w:themeColor="text1"/>
        </w:rPr>
        <w:t>Aetiology</w:t>
      </w:r>
      <w:proofErr w:type="spellEnd"/>
      <w:r w:rsidRPr="00AE2262">
        <w:rPr>
          <w:color w:val="000000" w:themeColor="text1"/>
          <w:shd w:val="clear" w:color="auto" w:fill="FFFFFF"/>
        </w:rPr>
        <w:t xml:space="preserve"> is the study of </w:t>
      </w:r>
      <w:hyperlink r:id="rId6" w:tooltip="Causality" w:history="1">
        <w:r w:rsidRPr="00AE2262">
          <w:rPr>
            <w:rStyle w:val="Hyperlink"/>
            <w:color w:val="000000" w:themeColor="text1"/>
            <w:u w:val="none"/>
          </w:rPr>
          <w:t>causation</w:t>
        </w:r>
      </w:hyperlink>
      <w:r w:rsidRPr="00AE2262">
        <w:rPr>
          <w:color w:val="000000" w:themeColor="text1"/>
          <w:shd w:val="clear" w:color="auto" w:fill="FFFFFF"/>
        </w:rPr>
        <w:t xml:space="preserve"> or origination. The word is derived from the </w:t>
      </w:r>
      <w:hyperlink r:id="rId7" w:tooltip="Ancient Greek" w:history="1">
        <w:r w:rsidRPr="00AE2262">
          <w:rPr>
            <w:rStyle w:val="Hyperlink"/>
            <w:color w:val="000000" w:themeColor="text1"/>
            <w:u w:val="none"/>
          </w:rPr>
          <w:t>Greek</w:t>
        </w:r>
      </w:hyperlink>
      <w:r w:rsidRPr="00AE2262">
        <w:rPr>
          <w:color w:val="000000" w:themeColor="text1"/>
          <w:shd w:val="clear" w:color="auto" w:fill="FFFFFF"/>
        </w:rPr>
        <w:t xml:space="preserve"> (</w:t>
      </w:r>
      <w:proofErr w:type="spellStart"/>
      <w:r w:rsidRPr="00AE2262">
        <w:rPr>
          <w:i/>
          <w:iCs/>
          <w:color w:val="000000" w:themeColor="text1"/>
        </w:rPr>
        <w:t>aitiología</w:t>
      </w:r>
      <w:proofErr w:type="spellEnd"/>
      <w:r w:rsidRPr="00AE2262">
        <w:rPr>
          <w:color w:val="000000" w:themeColor="text1"/>
          <w:shd w:val="clear" w:color="auto" w:fill="FFFFFF"/>
        </w:rPr>
        <w:t xml:space="preserve">) "giving a reason for" </w:t>
      </w:r>
      <w:proofErr w:type="spellStart"/>
      <w:r w:rsidRPr="00AE2262">
        <w:rPr>
          <w:i/>
          <w:iCs/>
          <w:color w:val="000000" w:themeColor="text1"/>
        </w:rPr>
        <w:t>aitía</w:t>
      </w:r>
      <w:proofErr w:type="spellEnd"/>
      <w:r w:rsidRPr="00AE2262">
        <w:rPr>
          <w:color w:val="000000" w:themeColor="text1"/>
          <w:shd w:val="clear" w:color="auto" w:fill="FFFFFF"/>
        </w:rPr>
        <w:t xml:space="preserve">, "cause"; and </w:t>
      </w:r>
      <w:hyperlink r:id="rId8" w:tooltip="wiktionary:-logia" w:history="1">
        <w:r w:rsidRPr="00AE2262">
          <w:rPr>
            <w:rStyle w:val="Hyperlink"/>
            <w:i/>
            <w:iCs/>
            <w:color w:val="000000" w:themeColor="text1"/>
            <w:u w:val="none"/>
          </w:rPr>
          <w:t>-</w:t>
        </w:r>
        <w:proofErr w:type="spellStart"/>
        <w:r w:rsidRPr="00AE2262">
          <w:rPr>
            <w:rStyle w:val="Hyperlink"/>
            <w:i/>
            <w:iCs/>
            <w:color w:val="000000" w:themeColor="text1"/>
            <w:u w:val="none"/>
          </w:rPr>
          <w:t>logía</w:t>
        </w:r>
        <w:proofErr w:type="spellEnd"/>
      </w:hyperlink>
      <w:r w:rsidRPr="00AE2262">
        <w:rPr>
          <w:color w:val="000000" w:themeColor="text1"/>
          <w:shd w:val="clear" w:color="auto" w:fill="FFFFFF"/>
        </w:rPr>
        <w:t>). More completely, etiology is the study of the causes, origins, or reasons behind the way that things are, or the way they function, or it can refer to the causes themselves.</w:t>
      </w:r>
      <w:hyperlink r:id="rId9" w:anchor="cite_note-2" w:history="1">
        <w:r w:rsidRPr="00AE2262">
          <w:rPr>
            <w:rStyle w:val="Hyperlink"/>
            <w:color w:val="000000" w:themeColor="text1"/>
            <w:u w:val="none"/>
            <w:vertAlign w:val="superscript"/>
          </w:rPr>
          <w:t>[2]</w:t>
        </w:r>
      </w:hyperlink>
      <w:r w:rsidRPr="00AE2262">
        <w:rPr>
          <w:color w:val="000000" w:themeColor="text1"/>
          <w:shd w:val="clear" w:color="auto" w:fill="FFFFFF"/>
        </w:rPr>
        <w:t xml:space="preserve"> The word is commonly used in </w:t>
      </w:r>
      <w:hyperlink r:id="rId10" w:tooltip="Medicine" w:history="1">
        <w:r w:rsidRPr="00AE2262">
          <w:rPr>
            <w:rStyle w:val="Hyperlink"/>
            <w:color w:val="000000" w:themeColor="text1"/>
            <w:u w:val="none"/>
          </w:rPr>
          <w:t>medicine</w:t>
        </w:r>
      </w:hyperlink>
      <w:r w:rsidRPr="00AE2262">
        <w:rPr>
          <w:color w:val="000000" w:themeColor="text1"/>
          <w:shd w:val="clear" w:color="auto" w:fill="FFFFFF"/>
        </w:rPr>
        <w:t xml:space="preserve"> (pertaining to causes of disease) and in </w:t>
      </w:r>
      <w:hyperlink r:id="rId11" w:tooltip="Philosophy" w:history="1">
        <w:r w:rsidRPr="00AE2262">
          <w:rPr>
            <w:rStyle w:val="Hyperlink"/>
            <w:color w:val="000000" w:themeColor="text1"/>
            <w:u w:val="none"/>
          </w:rPr>
          <w:t>philosophy</w:t>
        </w:r>
      </w:hyperlink>
      <w:r w:rsidRPr="00AE2262">
        <w:rPr>
          <w:color w:val="000000" w:themeColor="text1"/>
          <w:shd w:val="clear" w:color="auto" w:fill="FFFFFF"/>
        </w:rPr>
        <w:t xml:space="preserve">, but also in </w:t>
      </w:r>
      <w:hyperlink r:id="rId12" w:tooltip="Physics" w:history="1">
        <w:r w:rsidRPr="00AE2262">
          <w:rPr>
            <w:rStyle w:val="Hyperlink"/>
            <w:color w:val="000000" w:themeColor="text1"/>
            <w:u w:val="none"/>
          </w:rPr>
          <w:t>physics</w:t>
        </w:r>
      </w:hyperlink>
      <w:r w:rsidRPr="00AE2262">
        <w:rPr>
          <w:color w:val="000000" w:themeColor="text1"/>
          <w:shd w:val="clear" w:color="auto" w:fill="FFFFFF"/>
        </w:rPr>
        <w:t xml:space="preserve">, </w:t>
      </w:r>
      <w:hyperlink r:id="rId13" w:tooltip="Psychology" w:history="1">
        <w:r w:rsidRPr="00AE2262">
          <w:rPr>
            <w:rStyle w:val="Hyperlink"/>
            <w:color w:val="000000" w:themeColor="text1"/>
            <w:u w:val="none"/>
          </w:rPr>
          <w:t>psychology</w:t>
        </w:r>
      </w:hyperlink>
      <w:r w:rsidRPr="00AE2262">
        <w:rPr>
          <w:color w:val="000000" w:themeColor="text1"/>
          <w:shd w:val="clear" w:color="auto" w:fill="FFFFFF"/>
        </w:rPr>
        <w:t xml:space="preserve">, </w:t>
      </w:r>
      <w:hyperlink r:id="rId14" w:tooltip="Forms of government" w:history="1">
        <w:r w:rsidRPr="00AE2262">
          <w:rPr>
            <w:rStyle w:val="Hyperlink"/>
            <w:color w:val="000000" w:themeColor="text1"/>
            <w:u w:val="none"/>
          </w:rPr>
          <w:t>government</w:t>
        </w:r>
      </w:hyperlink>
      <w:r w:rsidRPr="00AE2262">
        <w:rPr>
          <w:color w:val="000000" w:themeColor="text1"/>
          <w:shd w:val="clear" w:color="auto" w:fill="FFFFFF"/>
        </w:rPr>
        <w:t xml:space="preserve">, </w:t>
      </w:r>
      <w:hyperlink r:id="rId15" w:tooltip="Geography" w:history="1">
        <w:r w:rsidRPr="00AE2262">
          <w:rPr>
            <w:rStyle w:val="Hyperlink"/>
            <w:color w:val="000000" w:themeColor="text1"/>
            <w:u w:val="none"/>
          </w:rPr>
          <w:t>geography</w:t>
        </w:r>
      </w:hyperlink>
      <w:r w:rsidRPr="00AE2262">
        <w:rPr>
          <w:color w:val="000000" w:themeColor="text1"/>
          <w:shd w:val="clear" w:color="auto" w:fill="FFFFFF"/>
        </w:rPr>
        <w:t xml:space="preserve">, </w:t>
      </w:r>
      <w:hyperlink r:id="rId16" w:tooltip="Spatial analysis" w:history="1">
        <w:r w:rsidRPr="00AE2262">
          <w:rPr>
            <w:rStyle w:val="Hyperlink"/>
            <w:color w:val="000000" w:themeColor="text1"/>
            <w:u w:val="none"/>
          </w:rPr>
          <w:t>spatial analysis</w:t>
        </w:r>
      </w:hyperlink>
      <w:r w:rsidRPr="00AE2262">
        <w:rPr>
          <w:color w:val="000000" w:themeColor="text1"/>
          <w:shd w:val="clear" w:color="auto" w:fill="FFFFFF"/>
        </w:rPr>
        <w:t xml:space="preserve">, </w:t>
      </w:r>
      <w:hyperlink r:id="rId17" w:tooltip="Theology" w:history="1">
        <w:r w:rsidRPr="00AE2262">
          <w:rPr>
            <w:rStyle w:val="Hyperlink"/>
            <w:color w:val="000000" w:themeColor="text1"/>
            <w:u w:val="none"/>
          </w:rPr>
          <w:t>theology</w:t>
        </w:r>
      </w:hyperlink>
      <w:r w:rsidRPr="00AE2262">
        <w:rPr>
          <w:color w:val="000000" w:themeColor="text1"/>
          <w:shd w:val="clear" w:color="auto" w:fill="FFFFFF"/>
        </w:rPr>
        <w:t xml:space="preserve">, and </w:t>
      </w:r>
      <w:hyperlink r:id="rId18" w:tooltip="Biology" w:history="1">
        <w:r w:rsidRPr="00AE2262">
          <w:rPr>
            <w:rStyle w:val="Hyperlink"/>
            <w:color w:val="000000" w:themeColor="text1"/>
            <w:u w:val="none"/>
          </w:rPr>
          <w:t>biology</w:t>
        </w:r>
      </w:hyperlink>
      <w:r w:rsidRPr="00AE2262">
        <w:rPr>
          <w:color w:val="000000" w:themeColor="text1"/>
          <w:shd w:val="clear" w:color="auto" w:fill="FFFFFF"/>
        </w:rPr>
        <w:t xml:space="preserve">, in reference to the causes or origins of various </w:t>
      </w:r>
      <w:hyperlink r:id="rId19" w:tooltip="Phenomena" w:history="1">
        <w:r w:rsidRPr="00AE2262">
          <w:rPr>
            <w:rStyle w:val="Hyperlink"/>
            <w:color w:val="000000" w:themeColor="text1"/>
            <w:u w:val="none"/>
          </w:rPr>
          <w:t>phenomena</w:t>
        </w:r>
      </w:hyperlink>
      <w:r w:rsidRPr="00AE2262">
        <w:rPr>
          <w:color w:val="000000" w:themeColor="text1"/>
          <w:shd w:val="clear" w:color="auto" w:fill="FFFFFF"/>
        </w:rPr>
        <w:t>.</w:t>
      </w:r>
    </w:p>
    <w:p w:rsidR="001D6453" w:rsidRPr="00AE2262" w:rsidRDefault="001D6453" w:rsidP="00CF6D50">
      <w:pPr>
        <w:spacing w:line="240" w:lineRule="atLeast"/>
        <w:rPr>
          <w:color w:val="000000" w:themeColor="text1"/>
          <w:shd w:val="clear" w:color="auto" w:fill="FFFFFF"/>
        </w:rPr>
      </w:pPr>
    </w:p>
    <w:p w:rsidR="001D6453" w:rsidRPr="00AE2262" w:rsidRDefault="001D6453" w:rsidP="00CF6D50">
      <w:pPr>
        <w:spacing w:line="240" w:lineRule="atLeast"/>
        <w:rPr>
          <w:color w:val="000000" w:themeColor="text1"/>
        </w:rPr>
      </w:pPr>
      <w:r w:rsidRPr="00AE2262">
        <w:rPr>
          <w:b/>
          <w:color w:val="000000" w:themeColor="text1"/>
          <w:shd w:val="clear" w:color="auto" w:fill="FFFFFF"/>
        </w:rPr>
        <w:t>Epidemiology</w:t>
      </w:r>
      <w:r w:rsidRPr="00AE2262">
        <w:rPr>
          <w:color w:val="000000" w:themeColor="text1"/>
          <w:shd w:val="clear" w:color="auto" w:fill="FFFFFF"/>
        </w:rPr>
        <w:t xml:space="preserve"> is the study of the distribution and determinants of health-related states or events (including disease), and the application of this study to the control of diseases and other health problems. Various methods can be used to carry out epidemiological investigations: surveillance and descriptive studies can be used to study distribution; analytical studies are used to study determinants.</w:t>
      </w:r>
    </w:p>
    <w:p w:rsidR="00C455B9" w:rsidRPr="00AE2262" w:rsidRDefault="00C455B9" w:rsidP="00CF6D50">
      <w:pPr>
        <w:spacing w:line="240" w:lineRule="atLeast"/>
        <w:rPr>
          <w:color w:val="000000" w:themeColor="text1"/>
        </w:rPr>
      </w:pPr>
    </w:p>
    <w:p w:rsidR="001D6453" w:rsidRPr="00AE2262" w:rsidRDefault="001D6453" w:rsidP="00CF6D50">
      <w:pPr>
        <w:spacing w:line="240" w:lineRule="atLeast"/>
        <w:rPr>
          <w:color w:val="000000" w:themeColor="text1"/>
          <w:shd w:val="clear" w:color="auto" w:fill="FFFFFF"/>
        </w:rPr>
      </w:pPr>
      <w:r w:rsidRPr="00AE2262">
        <w:rPr>
          <w:b/>
          <w:bCs/>
          <w:color w:val="000000" w:themeColor="text1"/>
        </w:rPr>
        <w:t>Prognosis</w:t>
      </w:r>
      <w:r w:rsidRPr="00AE2262">
        <w:rPr>
          <w:color w:val="000000" w:themeColor="text1"/>
          <w:shd w:val="clear" w:color="auto" w:fill="FFFFFF"/>
        </w:rPr>
        <w:t xml:space="preserve"> (</w:t>
      </w:r>
      <w:hyperlink r:id="rId20" w:tooltip="Ancient Greek" w:history="1">
        <w:r w:rsidRPr="00AE2262">
          <w:rPr>
            <w:rStyle w:val="Hyperlink"/>
            <w:color w:val="000000" w:themeColor="text1"/>
            <w:u w:val="none"/>
          </w:rPr>
          <w:t>Greek</w:t>
        </w:r>
      </w:hyperlink>
      <w:r w:rsidRPr="00AE2262">
        <w:rPr>
          <w:color w:val="000000" w:themeColor="text1"/>
          <w:shd w:val="clear" w:color="auto" w:fill="FFFFFF"/>
        </w:rPr>
        <w:t>: π</w:t>
      </w:r>
      <w:proofErr w:type="spellStart"/>
      <w:r w:rsidRPr="00AE2262">
        <w:rPr>
          <w:color w:val="000000" w:themeColor="text1"/>
          <w:shd w:val="clear" w:color="auto" w:fill="FFFFFF"/>
        </w:rPr>
        <w:t>ρόγνωσις</w:t>
      </w:r>
      <w:proofErr w:type="spellEnd"/>
      <w:r w:rsidRPr="00AE2262">
        <w:rPr>
          <w:color w:val="000000" w:themeColor="text1"/>
          <w:shd w:val="clear" w:color="auto" w:fill="FFFFFF"/>
        </w:rPr>
        <w:t xml:space="preserve"> "fore-knowing, foreseeing") is a </w:t>
      </w:r>
      <w:hyperlink r:id="rId21" w:tooltip="Medicine" w:history="1">
        <w:r w:rsidRPr="00AE2262">
          <w:rPr>
            <w:rStyle w:val="Hyperlink"/>
            <w:color w:val="000000" w:themeColor="text1"/>
            <w:u w:val="none"/>
          </w:rPr>
          <w:t>medical</w:t>
        </w:r>
      </w:hyperlink>
      <w:r w:rsidRPr="00AE2262">
        <w:rPr>
          <w:color w:val="000000" w:themeColor="text1"/>
          <w:shd w:val="clear" w:color="auto" w:fill="FFFFFF"/>
        </w:rPr>
        <w:t xml:space="preserve"> term for predicting the likely or expected development of a disease, including whether the </w:t>
      </w:r>
      <w:hyperlink r:id="rId22" w:tooltip="Sign (medicine)" w:history="1">
        <w:r w:rsidRPr="00AE2262">
          <w:rPr>
            <w:rStyle w:val="Hyperlink"/>
            <w:color w:val="000000" w:themeColor="text1"/>
            <w:u w:val="none"/>
          </w:rPr>
          <w:t>signs</w:t>
        </w:r>
      </w:hyperlink>
      <w:r w:rsidRPr="00AE2262">
        <w:rPr>
          <w:color w:val="000000" w:themeColor="text1"/>
          <w:shd w:val="clear" w:color="auto" w:fill="FFFFFF"/>
        </w:rPr>
        <w:t xml:space="preserve"> and </w:t>
      </w:r>
      <w:hyperlink r:id="rId23" w:tooltip="Symptom" w:history="1">
        <w:r w:rsidRPr="00AE2262">
          <w:rPr>
            <w:rStyle w:val="Hyperlink"/>
            <w:color w:val="000000" w:themeColor="text1"/>
            <w:u w:val="none"/>
          </w:rPr>
          <w:t>symptoms</w:t>
        </w:r>
      </w:hyperlink>
      <w:r w:rsidRPr="00AE2262">
        <w:rPr>
          <w:color w:val="000000" w:themeColor="text1"/>
          <w:shd w:val="clear" w:color="auto" w:fill="FFFFFF"/>
        </w:rPr>
        <w:t xml:space="preserve"> will improve or worsen (and how quickly) or remain stable over time; expectations of quality of life, such as the ability to carry out daily activities; the potential for complications and associated health issues; and the likelihood of survival (including life expectancy).</w:t>
      </w:r>
      <w:hyperlink r:id="rId24" w:anchor="cite_note-1" w:history="1">
        <w:r w:rsidRPr="00AE2262">
          <w:rPr>
            <w:rStyle w:val="Hyperlink"/>
            <w:color w:val="000000" w:themeColor="text1"/>
            <w:u w:val="none"/>
            <w:vertAlign w:val="superscript"/>
          </w:rPr>
          <w:t>[1</w:t>
        </w:r>
        <w:proofErr w:type="gramStart"/>
        <w:r w:rsidRPr="00AE2262">
          <w:rPr>
            <w:rStyle w:val="Hyperlink"/>
            <w:color w:val="000000" w:themeColor="text1"/>
            <w:u w:val="none"/>
            <w:vertAlign w:val="superscript"/>
          </w:rPr>
          <w:t>]</w:t>
        </w:r>
        <w:proofErr w:type="gramEnd"/>
      </w:hyperlink>
      <w:hyperlink r:id="rId25" w:anchor="cite_note-NaturePrognosis-2" w:history="1">
        <w:r w:rsidRPr="00AE2262">
          <w:rPr>
            <w:rStyle w:val="Hyperlink"/>
            <w:color w:val="000000" w:themeColor="text1"/>
            <w:u w:val="none"/>
            <w:vertAlign w:val="superscript"/>
          </w:rPr>
          <w:t>[2]</w:t>
        </w:r>
      </w:hyperlink>
      <w:r w:rsidRPr="00AE2262">
        <w:rPr>
          <w:color w:val="000000" w:themeColor="text1"/>
          <w:shd w:val="clear" w:color="auto" w:fill="FFFFFF"/>
        </w:rPr>
        <w:t xml:space="preserve"> A prognosis is made on the basis of the normal course of the diagnosed disease, the individual's physical and mental condition, the available treatments, and additional factors.</w:t>
      </w:r>
      <w:hyperlink r:id="rId26" w:anchor="cite_note-NaturePrognosis-2" w:history="1">
        <w:r w:rsidRPr="00AE2262">
          <w:rPr>
            <w:rStyle w:val="Hyperlink"/>
            <w:color w:val="000000" w:themeColor="text1"/>
            <w:u w:val="none"/>
            <w:vertAlign w:val="superscript"/>
          </w:rPr>
          <w:t>[2]</w:t>
        </w:r>
      </w:hyperlink>
      <w:r w:rsidRPr="00AE2262">
        <w:rPr>
          <w:color w:val="000000" w:themeColor="text1"/>
          <w:shd w:val="clear" w:color="auto" w:fill="FFFFFF"/>
        </w:rPr>
        <w:t xml:space="preserve"> A complete prognosis includes the expected duration, function, and description of the course of the disease, such as progressive decline, intermittent crisis, or sudden, unpredictable crisis.</w:t>
      </w:r>
    </w:p>
    <w:p w:rsidR="001D6453" w:rsidRPr="00AE2262" w:rsidRDefault="001D6453" w:rsidP="00CF6D50">
      <w:pPr>
        <w:spacing w:line="240" w:lineRule="atLeast"/>
        <w:rPr>
          <w:color w:val="000000" w:themeColor="text1"/>
        </w:rPr>
      </w:pPr>
      <w:proofErr w:type="gramStart"/>
      <w:r w:rsidRPr="00AE2262">
        <w:rPr>
          <w:color w:val="000000" w:themeColor="text1"/>
        </w:rPr>
        <w:t>diagnosis</w:t>
      </w:r>
      <w:proofErr w:type="gramEnd"/>
      <w:r w:rsidRPr="00AE2262">
        <w:rPr>
          <w:color w:val="000000" w:themeColor="text1"/>
        </w:rPr>
        <w:t>.</w:t>
      </w:r>
    </w:p>
    <w:p w:rsidR="00C455B9" w:rsidRPr="00AE2262" w:rsidRDefault="00C455B9" w:rsidP="00CF6D50">
      <w:pPr>
        <w:spacing w:line="240" w:lineRule="atLeast"/>
        <w:rPr>
          <w:color w:val="000000" w:themeColor="text1"/>
          <w:shd w:val="clear" w:color="auto" w:fill="FFFFFF"/>
        </w:rPr>
      </w:pPr>
      <w:r w:rsidRPr="00AE2262">
        <w:rPr>
          <w:color w:val="000000" w:themeColor="text1"/>
          <w:shd w:val="clear" w:color="auto" w:fill="FFFFFF"/>
        </w:rPr>
        <w:t xml:space="preserve">A </w:t>
      </w:r>
      <w:r w:rsidRPr="00AE2262">
        <w:rPr>
          <w:b/>
          <w:bCs/>
          <w:color w:val="000000" w:themeColor="text1"/>
        </w:rPr>
        <w:t>genetic predisposition</w:t>
      </w:r>
      <w:r w:rsidRPr="00AE2262">
        <w:rPr>
          <w:color w:val="000000" w:themeColor="text1"/>
          <w:shd w:val="clear" w:color="auto" w:fill="FFFFFF"/>
        </w:rPr>
        <w:t xml:space="preserve"> is a </w:t>
      </w:r>
      <w:hyperlink r:id="rId27" w:tooltip="Genetics" w:history="1">
        <w:r w:rsidRPr="00AE2262">
          <w:rPr>
            <w:rStyle w:val="Hyperlink"/>
            <w:color w:val="000000" w:themeColor="text1"/>
            <w:u w:val="none"/>
          </w:rPr>
          <w:t>genetic</w:t>
        </w:r>
      </w:hyperlink>
      <w:r w:rsidRPr="00AE2262">
        <w:rPr>
          <w:color w:val="000000" w:themeColor="text1"/>
          <w:shd w:val="clear" w:color="auto" w:fill="FFFFFF"/>
        </w:rPr>
        <w:t xml:space="preserve"> characteristic which influences the possible </w:t>
      </w:r>
      <w:hyperlink r:id="rId28" w:tooltip="Phenotypic" w:history="1">
        <w:r w:rsidRPr="00AE2262">
          <w:rPr>
            <w:rStyle w:val="Hyperlink"/>
            <w:color w:val="000000" w:themeColor="text1"/>
            <w:u w:val="none"/>
          </w:rPr>
          <w:t>phenotypic</w:t>
        </w:r>
      </w:hyperlink>
      <w:r w:rsidRPr="00AE2262">
        <w:rPr>
          <w:color w:val="000000" w:themeColor="text1"/>
          <w:shd w:val="clear" w:color="auto" w:fill="FFFFFF"/>
        </w:rPr>
        <w:t xml:space="preserve"> development of an individual organism within a species or population under the influence of </w:t>
      </w:r>
      <w:hyperlink r:id="rId29" w:tooltip="Natural environment" w:history="1">
        <w:r w:rsidRPr="00AE2262">
          <w:rPr>
            <w:rStyle w:val="Hyperlink"/>
            <w:color w:val="000000" w:themeColor="text1"/>
            <w:u w:val="none"/>
          </w:rPr>
          <w:t>environmental</w:t>
        </w:r>
      </w:hyperlink>
      <w:r w:rsidRPr="00AE2262">
        <w:rPr>
          <w:color w:val="000000" w:themeColor="text1"/>
          <w:shd w:val="clear" w:color="auto" w:fill="FFFFFF"/>
        </w:rPr>
        <w:t xml:space="preserve"> conditions. In medicine, </w:t>
      </w:r>
      <w:hyperlink r:id="rId30" w:tooltip="Genetic susceptibility" w:history="1">
        <w:r w:rsidRPr="00AE2262">
          <w:rPr>
            <w:rStyle w:val="Hyperlink"/>
            <w:b/>
            <w:bCs/>
            <w:color w:val="000000" w:themeColor="text1"/>
            <w:u w:val="none"/>
          </w:rPr>
          <w:t>genetic susceptibility</w:t>
        </w:r>
      </w:hyperlink>
      <w:r w:rsidRPr="00AE2262">
        <w:rPr>
          <w:color w:val="000000" w:themeColor="text1"/>
          <w:shd w:val="clear" w:color="auto" w:fill="FFFFFF"/>
        </w:rPr>
        <w:t xml:space="preserve"> to a </w:t>
      </w:r>
      <w:hyperlink r:id="rId31" w:tooltip="Disease" w:history="1">
        <w:r w:rsidRPr="00AE2262">
          <w:rPr>
            <w:rStyle w:val="Hyperlink"/>
            <w:color w:val="000000" w:themeColor="text1"/>
            <w:u w:val="none"/>
          </w:rPr>
          <w:t>disease</w:t>
        </w:r>
      </w:hyperlink>
      <w:r w:rsidRPr="00AE2262">
        <w:rPr>
          <w:color w:val="000000" w:themeColor="text1"/>
          <w:shd w:val="clear" w:color="auto" w:fill="FFFFFF"/>
        </w:rPr>
        <w:t xml:space="preserve"> refers to a genetic predisposition to a health problem,</w:t>
      </w:r>
      <w:hyperlink r:id="rId32" w:anchor="cite_note-1" w:history="1">
        <w:r w:rsidRPr="00AE2262">
          <w:rPr>
            <w:rStyle w:val="Hyperlink"/>
            <w:color w:val="000000" w:themeColor="text1"/>
            <w:u w:val="none"/>
            <w:vertAlign w:val="superscript"/>
          </w:rPr>
          <w:t>[1]</w:t>
        </w:r>
      </w:hyperlink>
      <w:r w:rsidRPr="00AE2262">
        <w:rPr>
          <w:color w:val="000000" w:themeColor="text1"/>
          <w:shd w:val="clear" w:color="auto" w:fill="FFFFFF"/>
        </w:rPr>
        <w:t xml:space="preserve"> which may eventually be triggered by particular environmental or lifestyle factors, such as </w:t>
      </w:r>
      <w:hyperlink r:id="rId33" w:tooltip="Tobacco smoking" w:history="1">
        <w:r w:rsidRPr="00AE2262">
          <w:rPr>
            <w:rStyle w:val="Hyperlink"/>
            <w:color w:val="000000" w:themeColor="text1"/>
            <w:u w:val="none"/>
          </w:rPr>
          <w:t>tobacco smoking</w:t>
        </w:r>
      </w:hyperlink>
      <w:r w:rsidRPr="00AE2262">
        <w:rPr>
          <w:color w:val="000000" w:themeColor="text1"/>
          <w:shd w:val="clear" w:color="auto" w:fill="FFFFFF"/>
        </w:rPr>
        <w:t xml:space="preserve"> or </w:t>
      </w:r>
      <w:hyperlink r:id="rId34" w:tooltip="Dieting" w:history="1">
        <w:r w:rsidRPr="00AE2262">
          <w:rPr>
            <w:rStyle w:val="Hyperlink"/>
            <w:color w:val="000000" w:themeColor="text1"/>
            <w:u w:val="none"/>
          </w:rPr>
          <w:t>diet</w:t>
        </w:r>
      </w:hyperlink>
      <w:r w:rsidRPr="00AE2262">
        <w:rPr>
          <w:color w:val="000000" w:themeColor="text1"/>
          <w:shd w:val="clear" w:color="auto" w:fill="FFFFFF"/>
        </w:rPr>
        <w:t xml:space="preserve">. </w:t>
      </w:r>
      <w:hyperlink r:id="rId35" w:tooltip="Genetic test" w:history="1">
        <w:r w:rsidRPr="00AE2262">
          <w:rPr>
            <w:rStyle w:val="Hyperlink"/>
            <w:color w:val="000000" w:themeColor="text1"/>
            <w:u w:val="none"/>
          </w:rPr>
          <w:t>Genetic testing</w:t>
        </w:r>
      </w:hyperlink>
      <w:r w:rsidRPr="00AE2262">
        <w:rPr>
          <w:color w:val="000000" w:themeColor="text1"/>
          <w:shd w:val="clear" w:color="auto" w:fill="FFFFFF"/>
        </w:rPr>
        <w:t xml:space="preserve"> is able to identify individuals who are genetically predisposed to certain diseases.</w:t>
      </w:r>
    </w:p>
    <w:p w:rsidR="00C455B9" w:rsidRPr="00AE2262" w:rsidRDefault="00585656" w:rsidP="00CF6D50">
      <w:pPr>
        <w:pStyle w:val="NormalWeb"/>
        <w:spacing w:before="0" w:beforeAutospacing="0" w:after="120" w:afterAutospacing="0" w:line="240" w:lineRule="atLeast"/>
        <w:rPr>
          <w:color w:val="000000" w:themeColor="text1"/>
        </w:rPr>
      </w:pPr>
      <w:hyperlink r:id="rId36" w:tooltip="Instinct" w:history="1">
        <w:r w:rsidR="00C455B9" w:rsidRPr="00AE2262">
          <w:rPr>
            <w:rStyle w:val="Hyperlink"/>
            <w:color w:val="000000" w:themeColor="text1"/>
          </w:rPr>
          <w:t>Predisposition</w:t>
        </w:r>
      </w:hyperlink>
      <w:r w:rsidR="00C455B9" w:rsidRPr="00AE2262">
        <w:rPr>
          <w:color w:val="000000" w:themeColor="text1"/>
        </w:rPr>
        <w:t xml:space="preserve"> is the capacity we are born with to learn things such as language and concept of self. Negative environmental influences may block the predisposition (ability) we have to do some things. </w:t>
      </w:r>
      <w:hyperlink r:id="rId37" w:tooltip="Ethology" w:history="1">
        <w:r w:rsidR="00C455B9" w:rsidRPr="00AE2262">
          <w:rPr>
            <w:rStyle w:val="Hyperlink"/>
            <w:color w:val="000000" w:themeColor="text1"/>
          </w:rPr>
          <w:t>Behaviors</w:t>
        </w:r>
      </w:hyperlink>
      <w:r w:rsidR="00C455B9" w:rsidRPr="00AE2262">
        <w:rPr>
          <w:color w:val="000000" w:themeColor="text1"/>
        </w:rPr>
        <w:t xml:space="preserve"> displayed by animals can be influenced by genetic predispositions. Genetic predisposition towards certain human behaviors is </w:t>
      </w:r>
      <w:hyperlink r:id="rId38" w:tooltip="Ethology" w:history="1">
        <w:r w:rsidR="00C455B9" w:rsidRPr="00AE2262">
          <w:rPr>
            <w:rStyle w:val="Hyperlink"/>
            <w:color w:val="000000" w:themeColor="text1"/>
          </w:rPr>
          <w:t>scientifically investigated</w:t>
        </w:r>
      </w:hyperlink>
      <w:r w:rsidR="00C455B9" w:rsidRPr="00AE2262">
        <w:rPr>
          <w:color w:val="000000" w:themeColor="text1"/>
        </w:rPr>
        <w:t xml:space="preserve"> by attempts </w:t>
      </w:r>
      <w:r w:rsidR="00C455B9" w:rsidRPr="00AE2262">
        <w:rPr>
          <w:color w:val="000000" w:themeColor="text1"/>
        </w:rPr>
        <w:lastRenderedPageBreak/>
        <w:t xml:space="preserve">to identify patterns of human behavior that seem to be invariant over long periods of time and in very different cultures. </w:t>
      </w:r>
    </w:p>
    <w:p w:rsidR="00C455B9" w:rsidRPr="00AE2262" w:rsidRDefault="00C455B9" w:rsidP="00CF6D50">
      <w:pPr>
        <w:pStyle w:val="NormalWeb"/>
        <w:spacing w:before="0" w:beforeAutospacing="0" w:after="120" w:afterAutospacing="0" w:line="240" w:lineRule="atLeast"/>
        <w:rPr>
          <w:color w:val="000000" w:themeColor="text1"/>
        </w:rPr>
      </w:pPr>
      <w:r w:rsidRPr="00AE2262">
        <w:rPr>
          <w:color w:val="000000" w:themeColor="text1"/>
        </w:rPr>
        <w:t xml:space="preserve">For example, philosopher </w:t>
      </w:r>
      <w:hyperlink r:id="rId39" w:tooltip="Daniel Dennett" w:history="1">
        <w:r w:rsidRPr="00AE2262">
          <w:rPr>
            <w:rStyle w:val="Hyperlink"/>
            <w:color w:val="000000" w:themeColor="text1"/>
          </w:rPr>
          <w:t>Daniel Dennett</w:t>
        </w:r>
      </w:hyperlink>
      <w:r w:rsidRPr="00AE2262">
        <w:rPr>
          <w:color w:val="000000" w:themeColor="text1"/>
        </w:rPr>
        <w:t xml:space="preserve"> has proposed that humans are genetically predisposed to have a </w:t>
      </w:r>
      <w:hyperlink r:id="rId40" w:tooltip="Theory of mind" w:history="1">
        <w:r w:rsidRPr="00AE2262">
          <w:rPr>
            <w:rStyle w:val="Hyperlink"/>
            <w:color w:val="000000" w:themeColor="text1"/>
          </w:rPr>
          <w:t>theory of mind</w:t>
        </w:r>
      </w:hyperlink>
      <w:r w:rsidRPr="00AE2262">
        <w:rPr>
          <w:color w:val="000000" w:themeColor="text1"/>
        </w:rPr>
        <w:t xml:space="preserve"> because there has been </w:t>
      </w:r>
      <w:hyperlink r:id="rId41" w:tooltip="Evolution" w:history="1">
        <w:r w:rsidRPr="00AE2262">
          <w:rPr>
            <w:rStyle w:val="Hyperlink"/>
            <w:color w:val="000000" w:themeColor="text1"/>
          </w:rPr>
          <w:t>evolutionary</w:t>
        </w:r>
      </w:hyperlink>
      <w:r w:rsidRPr="00AE2262">
        <w:rPr>
          <w:color w:val="000000" w:themeColor="text1"/>
        </w:rPr>
        <w:t xml:space="preserve"> selection for the human ability to adopt the </w:t>
      </w:r>
      <w:hyperlink r:id="rId42" w:tooltip="Intentional stance" w:history="1">
        <w:r w:rsidRPr="00AE2262">
          <w:rPr>
            <w:rStyle w:val="Hyperlink"/>
            <w:color w:val="000000" w:themeColor="text1"/>
          </w:rPr>
          <w:t>intentional stance</w:t>
        </w:r>
      </w:hyperlink>
      <w:r w:rsidRPr="00AE2262">
        <w:rPr>
          <w:color w:val="000000" w:themeColor="text1"/>
        </w:rPr>
        <w:t>.</w:t>
      </w:r>
      <w:hyperlink r:id="rId43" w:anchor="endnote_stance" w:history="1">
        <w:r w:rsidRPr="00AE2262">
          <w:rPr>
            <w:rStyle w:val="Hyperlink"/>
            <w:color w:val="000000" w:themeColor="text1"/>
            <w:vertAlign w:val="superscript"/>
          </w:rPr>
          <w:t>[1]</w:t>
        </w:r>
      </w:hyperlink>
      <w:r w:rsidRPr="00AE2262">
        <w:rPr>
          <w:color w:val="000000" w:themeColor="text1"/>
        </w:rPr>
        <w:t xml:space="preserve"> The </w:t>
      </w:r>
      <w:r w:rsidRPr="00AE2262">
        <w:rPr>
          <w:i/>
          <w:iCs/>
          <w:color w:val="000000" w:themeColor="text1"/>
        </w:rPr>
        <w:t>intentional stance</w:t>
      </w:r>
      <w:r w:rsidRPr="00AE2262">
        <w:rPr>
          <w:color w:val="000000" w:themeColor="text1"/>
        </w:rPr>
        <w:t xml:space="preserve"> is a useful behavioral strategy by which humans assume that others have </w:t>
      </w:r>
      <w:hyperlink r:id="rId44" w:tooltip="Mind" w:history="1">
        <w:r w:rsidRPr="00AE2262">
          <w:rPr>
            <w:rStyle w:val="Hyperlink"/>
            <w:color w:val="000000" w:themeColor="text1"/>
          </w:rPr>
          <w:t>minds</w:t>
        </w:r>
      </w:hyperlink>
      <w:r w:rsidRPr="00AE2262">
        <w:rPr>
          <w:color w:val="000000" w:themeColor="text1"/>
        </w:rPr>
        <w:t xml:space="preserve"> like their own. This assumption allows you to predict the behavior of others based on personal knowledge of what you would do. </w:t>
      </w:r>
    </w:p>
    <w:p w:rsidR="00C455B9" w:rsidRPr="00AE2262" w:rsidRDefault="00C455B9" w:rsidP="00CF6D50">
      <w:pPr>
        <w:pStyle w:val="NormalWeb"/>
        <w:spacing w:before="0" w:beforeAutospacing="0" w:after="120" w:afterAutospacing="0" w:line="240" w:lineRule="atLeast"/>
        <w:rPr>
          <w:color w:val="000000" w:themeColor="text1"/>
        </w:rPr>
      </w:pPr>
      <w:r w:rsidRPr="00AE2262">
        <w:rPr>
          <w:color w:val="000000" w:themeColor="text1"/>
        </w:rPr>
        <w:t xml:space="preserve">In 1951, </w:t>
      </w:r>
      <w:hyperlink r:id="rId45" w:tooltip="Hans Eysenck" w:history="1">
        <w:r w:rsidRPr="00AE2262">
          <w:rPr>
            <w:rStyle w:val="Hyperlink"/>
            <w:color w:val="000000" w:themeColor="text1"/>
          </w:rPr>
          <w:t>Hans Eysenck</w:t>
        </w:r>
      </w:hyperlink>
      <w:r w:rsidRPr="00AE2262">
        <w:rPr>
          <w:color w:val="000000" w:themeColor="text1"/>
        </w:rPr>
        <w:t xml:space="preserve"> and </w:t>
      </w:r>
      <w:hyperlink r:id="rId46" w:tooltip="Donald Prell" w:history="1">
        <w:r w:rsidRPr="00AE2262">
          <w:rPr>
            <w:rStyle w:val="Hyperlink"/>
            <w:color w:val="000000" w:themeColor="text1"/>
          </w:rPr>
          <w:t xml:space="preserve">Donald </w:t>
        </w:r>
        <w:proofErr w:type="spellStart"/>
        <w:r w:rsidRPr="00AE2262">
          <w:rPr>
            <w:rStyle w:val="Hyperlink"/>
            <w:color w:val="000000" w:themeColor="text1"/>
          </w:rPr>
          <w:t>Prell</w:t>
        </w:r>
        <w:proofErr w:type="spellEnd"/>
      </w:hyperlink>
      <w:r w:rsidRPr="00AE2262">
        <w:rPr>
          <w:color w:val="000000" w:themeColor="text1"/>
        </w:rPr>
        <w:t xml:space="preserve"> published an experiment in which </w:t>
      </w:r>
      <w:hyperlink r:id="rId47" w:tooltip="Twins" w:history="1">
        <w:r w:rsidRPr="00AE2262">
          <w:rPr>
            <w:rStyle w:val="Hyperlink"/>
            <w:color w:val="000000" w:themeColor="text1"/>
          </w:rPr>
          <w:t>identical (monozygotic) and fraternal (dizygotic) twins</w:t>
        </w:r>
      </w:hyperlink>
      <w:r w:rsidRPr="00AE2262">
        <w:rPr>
          <w:color w:val="000000" w:themeColor="text1"/>
        </w:rPr>
        <w:t xml:space="preserve">, ages 11 and 12, were tested for neuroticism. It is described in detail in an article published in the </w:t>
      </w:r>
      <w:hyperlink r:id="rId48" w:tooltip="Journal of Mental Science" w:history="1">
        <w:r w:rsidRPr="00AE2262">
          <w:rPr>
            <w:rStyle w:val="Hyperlink"/>
            <w:i/>
            <w:iCs/>
            <w:color w:val="000000" w:themeColor="text1"/>
          </w:rPr>
          <w:t>Journal of Mental Science</w:t>
        </w:r>
      </w:hyperlink>
      <w:r w:rsidRPr="00AE2262">
        <w:rPr>
          <w:color w:val="000000" w:themeColor="text1"/>
        </w:rPr>
        <w:t xml:space="preserve">. </w:t>
      </w:r>
      <w:proofErr w:type="gramStart"/>
      <w:r w:rsidRPr="00AE2262">
        <w:rPr>
          <w:color w:val="000000" w:themeColor="text1"/>
        </w:rPr>
        <w:t>in</w:t>
      </w:r>
      <w:proofErr w:type="gramEnd"/>
      <w:r w:rsidRPr="00AE2262">
        <w:rPr>
          <w:color w:val="000000" w:themeColor="text1"/>
        </w:rPr>
        <w:t xml:space="preserve"> which Eysenck and </w:t>
      </w:r>
      <w:proofErr w:type="spellStart"/>
      <w:r w:rsidRPr="00AE2262">
        <w:rPr>
          <w:color w:val="000000" w:themeColor="text1"/>
        </w:rPr>
        <w:t>Prell</w:t>
      </w:r>
      <w:proofErr w:type="spellEnd"/>
      <w:r w:rsidRPr="00AE2262">
        <w:rPr>
          <w:color w:val="000000" w:themeColor="text1"/>
        </w:rPr>
        <w:t xml:space="preserve"> concluded that, "The factor of neuroticism is not a statistical artifact, but constitutes a biological unit which is inherited as a whole....neurotic Genetic predisposition is to a large extent hereditarily determined."</w:t>
      </w:r>
      <w:hyperlink r:id="rId49" w:anchor="cite_note-2" w:history="1">
        <w:r w:rsidRPr="00AE2262">
          <w:rPr>
            <w:rStyle w:val="Hyperlink"/>
            <w:color w:val="000000" w:themeColor="text1"/>
            <w:vertAlign w:val="superscript"/>
          </w:rPr>
          <w:t>[2]</w:t>
        </w:r>
      </w:hyperlink>
      <w:r w:rsidRPr="00AE2262">
        <w:rPr>
          <w:color w:val="000000" w:themeColor="text1"/>
        </w:rPr>
        <w:t xml:space="preserve"> </w:t>
      </w:r>
    </w:p>
    <w:p w:rsidR="00C455B9" w:rsidRPr="00AE2262" w:rsidRDefault="00585656" w:rsidP="00CF6D50">
      <w:pPr>
        <w:pStyle w:val="NormalWeb"/>
        <w:spacing w:before="0" w:beforeAutospacing="0" w:after="120" w:afterAutospacing="0" w:line="240" w:lineRule="atLeast"/>
        <w:rPr>
          <w:color w:val="000000" w:themeColor="text1"/>
        </w:rPr>
      </w:pPr>
      <w:hyperlink r:id="rId50" w:tooltip="Edward Osborne Wilson" w:history="1">
        <w:r w:rsidR="00C455B9" w:rsidRPr="00AE2262">
          <w:rPr>
            <w:rStyle w:val="Hyperlink"/>
            <w:color w:val="000000" w:themeColor="text1"/>
          </w:rPr>
          <w:t>E. O. Wilson's</w:t>
        </w:r>
      </w:hyperlink>
      <w:r w:rsidR="00C455B9" w:rsidRPr="00AE2262">
        <w:rPr>
          <w:color w:val="000000" w:themeColor="text1"/>
        </w:rPr>
        <w:t xml:space="preserve"> </w:t>
      </w:r>
      <w:hyperlink r:id="rId51" w:tooltip="Sociobiology: The New Synthesis" w:history="1">
        <w:r w:rsidR="00C455B9" w:rsidRPr="00AE2262">
          <w:rPr>
            <w:rStyle w:val="Hyperlink"/>
            <w:color w:val="000000" w:themeColor="text1"/>
          </w:rPr>
          <w:t>book on sociobiology</w:t>
        </w:r>
      </w:hyperlink>
      <w:r w:rsidR="00C455B9" w:rsidRPr="00AE2262">
        <w:rPr>
          <w:color w:val="000000" w:themeColor="text1"/>
        </w:rPr>
        <w:t xml:space="preserve"> and his book </w:t>
      </w:r>
      <w:hyperlink r:id="rId52" w:tooltip="Consilience (book)" w:history="1">
        <w:r w:rsidR="00C455B9" w:rsidRPr="00AE2262">
          <w:rPr>
            <w:rStyle w:val="Hyperlink"/>
            <w:color w:val="000000" w:themeColor="text1"/>
          </w:rPr>
          <w:t>Consilience</w:t>
        </w:r>
      </w:hyperlink>
      <w:r w:rsidR="00C455B9" w:rsidRPr="00AE2262">
        <w:rPr>
          <w:color w:val="000000" w:themeColor="text1"/>
        </w:rPr>
        <w:t xml:space="preserve"> discuss the idea of genetic predisposition to behaviors </w:t>
      </w:r>
    </w:p>
    <w:p w:rsidR="00C455B9" w:rsidRPr="00AE2262" w:rsidRDefault="00C455B9" w:rsidP="00CF6D50">
      <w:pPr>
        <w:pStyle w:val="NormalWeb"/>
        <w:spacing w:before="0" w:beforeAutospacing="0" w:after="120" w:afterAutospacing="0" w:line="240" w:lineRule="atLeast"/>
        <w:rPr>
          <w:color w:val="000000" w:themeColor="text1"/>
        </w:rPr>
      </w:pPr>
      <w:r w:rsidRPr="00AE2262">
        <w:rPr>
          <w:color w:val="000000" w:themeColor="text1"/>
        </w:rPr>
        <w:t xml:space="preserve">The field of </w:t>
      </w:r>
      <w:hyperlink r:id="rId53" w:tooltip="Evolutionary psychology" w:history="1">
        <w:r w:rsidRPr="00AE2262">
          <w:rPr>
            <w:rStyle w:val="Hyperlink"/>
            <w:color w:val="000000" w:themeColor="text1"/>
          </w:rPr>
          <w:t>evolutionary psychology</w:t>
        </w:r>
      </w:hyperlink>
      <w:r w:rsidRPr="00AE2262">
        <w:rPr>
          <w:color w:val="000000" w:themeColor="text1"/>
        </w:rPr>
        <w:t xml:space="preserve"> explores the idea that certain behaviors have been selected for during the course of evolution. </w:t>
      </w:r>
    </w:p>
    <w:p w:rsidR="00BB22A6" w:rsidRDefault="00AE2262" w:rsidP="00CF6D50">
      <w:pPr>
        <w:pStyle w:val="NormalWeb"/>
        <w:tabs>
          <w:tab w:val="left" w:pos="4890"/>
        </w:tabs>
        <w:spacing w:before="0" w:beforeAutospacing="0" w:after="120" w:afterAutospacing="0" w:line="240" w:lineRule="atLeast"/>
        <w:rPr>
          <w:b/>
          <w:color w:val="000000" w:themeColor="text1"/>
        </w:rPr>
      </w:pPr>
      <w:r w:rsidRPr="00AE2262">
        <w:rPr>
          <w:b/>
          <w:color w:val="000000" w:themeColor="text1"/>
        </w:rPr>
        <w:t xml:space="preserve">Environmental factors and </w:t>
      </w:r>
      <w:r w:rsidR="001D6453" w:rsidRPr="00AE2262">
        <w:rPr>
          <w:b/>
          <w:color w:val="000000" w:themeColor="text1"/>
        </w:rPr>
        <w:t>microorganisms</w:t>
      </w:r>
      <w:r w:rsidR="00BB22A6">
        <w:rPr>
          <w:b/>
          <w:color w:val="000000" w:themeColor="text1"/>
        </w:rPr>
        <w:t xml:space="preserve">   </w:t>
      </w:r>
    </w:p>
    <w:p w:rsidR="00BB22A6" w:rsidRDefault="00BB22A6" w:rsidP="00CF6D50">
      <w:pPr>
        <w:pStyle w:val="NormalWeb"/>
        <w:spacing w:before="0" w:beforeAutospacing="0" w:after="0" w:line="240" w:lineRule="atLeast"/>
        <w:textAlignment w:val="baseline"/>
        <w:rPr>
          <w:b/>
          <w:color w:val="000000" w:themeColor="text1"/>
        </w:rPr>
      </w:pPr>
      <w:r>
        <w:rPr>
          <w:b/>
          <w:color w:val="000000" w:themeColor="text1"/>
        </w:rPr>
        <w:t xml:space="preserve">For detail </w:t>
      </w:r>
      <w:proofErr w:type="gramStart"/>
      <w:r>
        <w:rPr>
          <w:b/>
          <w:color w:val="000000" w:themeColor="text1"/>
        </w:rPr>
        <w:t>study  (</w:t>
      </w:r>
      <w:proofErr w:type="spellStart"/>
      <w:proofErr w:type="gramEnd"/>
      <w:r w:rsidRPr="00BB22A6">
        <w:rPr>
          <w:b/>
          <w:color w:val="000000" w:themeColor="text1"/>
        </w:rPr>
        <w:t>doi</w:t>
      </w:r>
      <w:proofErr w:type="spellEnd"/>
      <w:r w:rsidRPr="00BB22A6">
        <w:rPr>
          <w:b/>
          <w:color w:val="000000" w:themeColor="text1"/>
        </w:rPr>
        <w:t>: 10.1093/</w:t>
      </w:r>
      <w:proofErr w:type="spellStart"/>
      <w:r w:rsidRPr="00BB22A6">
        <w:rPr>
          <w:b/>
          <w:color w:val="000000" w:themeColor="text1"/>
        </w:rPr>
        <w:t>femsre</w:t>
      </w:r>
      <w:proofErr w:type="spellEnd"/>
      <w:r w:rsidRPr="00BB22A6">
        <w:rPr>
          <w:b/>
          <w:color w:val="000000" w:themeColor="text1"/>
        </w:rPr>
        <w:t>/fux053</w:t>
      </w:r>
      <w:r>
        <w:rPr>
          <w:b/>
          <w:color w:val="000000" w:themeColor="text1"/>
        </w:rPr>
        <w:t>)</w:t>
      </w:r>
      <w:r w:rsidRPr="00BB22A6">
        <w:rPr>
          <w:b/>
          <w:color w:val="000000" w:themeColor="text1"/>
        </w:rPr>
        <w:t xml:space="preserve"> </w:t>
      </w:r>
    </w:p>
    <w:p w:rsidR="001D6453" w:rsidRPr="00AE2262" w:rsidRDefault="001D6453" w:rsidP="00CF6D50">
      <w:pPr>
        <w:pStyle w:val="NormalWeb"/>
        <w:spacing w:before="0" w:beforeAutospacing="0" w:after="0" w:line="240" w:lineRule="atLeast"/>
        <w:textAlignment w:val="baseline"/>
        <w:rPr>
          <w:color w:val="000000" w:themeColor="text1"/>
        </w:rPr>
      </w:pPr>
      <w:r w:rsidRPr="00AE2262">
        <w:rPr>
          <w:color w:val="000000" w:themeColor="text1"/>
        </w:rPr>
        <w:t xml:space="preserve">Antibiotic resistance </w:t>
      </w:r>
      <w:r w:rsidR="00AE2262" w:rsidRPr="00AE2262">
        <w:rPr>
          <w:color w:val="000000" w:themeColor="text1"/>
        </w:rPr>
        <w:t xml:space="preserve">in microbial pathogens </w:t>
      </w:r>
      <w:r w:rsidRPr="00AE2262">
        <w:rPr>
          <w:color w:val="000000" w:themeColor="text1"/>
        </w:rPr>
        <w:t xml:space="preserve">accounts for hundreds of thousands of deaths annually (Review on Antimicrobial Resistance 2014), and its projected increase has made the WHO recognize it as a major global health threat (WHO 2014). Conventionally, the struggle against antibiotic resistance development has mainly taken place in clinical, community, and in more recent years also agricultural settings—aiming to reduce transmission and prevent selection of resistant bacteria during antibiotic treatment. Over the past years, the role of the environment as an important source and dissemination route of resistance has been increasingly recognized (Martinez 2008; Wright 2010; </w:t>
      </w:r>
      <w:proofErr w:type="spellStart"/>
      <w:r w:rsidRPr="00AE2262">
        <w:rPr>
          <w:color w:val="000000" w:themeColor="text1"/>
        </w:rPr>
        <w:t>Ashbolt</w:t>
      </w:r>
      <w:proofErr w:type="spellEnd"/>
      <w:r w:rsidRPr="00AE2262">
        <w:rPr>
          <w:color w:val="000000" w:themeColor="text1"/>
        </w:rPr>
        <w:t xml:space="preserve"> </w:t>
      </w:r>
      <w:r w:rsidRPr="00AE2262">
        <w:rPr>
          <w:rStyle w:val="Emphasis"/>
          <w:color w:val="000000" w:themeColor="text1"/>
          <w:bdr w:val="none" w:sz="0" w:space="0" w:color="auto" w:frame="1"/>
        </w:rPr>
        <w:t>et al</w:t>
      </w:r>
      <w:r w:rsidRPr="00AE2262">
        <w:rPr>
          <w:color w:val="000000" w:themeColor="text1"/>
        </w:rPr>
        <w:t xml:space="preserve">. 2013; Finley </w:t>
      </w:r>
      <w:r w:rsidRPr="00AE2262">
        <w:rPr>
          <w:rStyle w:val="Emphasis"/>
          <w:color w:val="000000" w:themeColor="text1"/>
          <w:bdr w:val="none" w:sz="0" w:space="0" w:color="auto" w:frame="1"/>
        </w:rPr>
        <w:t>et al</w:t>
      </w:r>
      <w:r w:rsidRPr="00AE2262">
        <w:rPr>
          <w:color w:val="000000" w:themeColor="text1"/>
        </w:rPr>
        <w:t xml:space="preserve">. 2013; </w:t>
      </w:r>
      <w:proofErr w:type="spellStart"/>
      <w:r w:rsidRPr="00AE2262">
        <w:rPr>
          <w:color w:val="000000" w:themeColor="text1"/>
        </w:rPr>
        <w:t>Pruden</w:t>
      </w:r>
      <w:proofErr w:type="spellEnd"/>
      <w:r w:rsidRPr="00AE2262">
        <w:rPr>
          <w:color w:val="000000" w:themeColor="text1"/>
        </w:rPr>
        <w:t xml:space="preserve"> </w:t>
      </w:r>
      <w:r w:rsidRPr="00AE2262">
        <w:rPr>
          <w:rStyle w:val="Emphasis"/>
          <w:color w:val="000000" w:themeColor="text1"/>
          <w:bdr w:val="none" w:sz="0" w:space="0" w:color="auto" w:frame="1"/>
        </w:rPr>
        <w:t>et al</w:t>
      </w:r>
      <w:r w:rsidRPr="00AE2262">
        <w:rPr>
          <w:color w:val="000000" w:themeColor="text1"/>
        </w:rPr>
        <w:t xml:space="preserve">. 2013; </w:t>
      </w:r>
      <w:proofErr w:type="spellStart"/>
      <w:r w:rsidRPr="00AE2262">
        <w:rPr>
          <w:color w:val="000000" w:themeColor="text1"/>
        </w:rPr>
        <w:t>Bengtsson</w:t>
      </w:r>
      <w:proofErr w:type="spellEnd"/>
      <w:r w:rsidRPr="00AE2262">
        <w:rPr>
          <w:color w:val="000000" w:themeColor="text1"/>
        </w:rPr>
        <w:t xml:space="preserve">-Palme </w:t>
      </w:r>
      <w:r w:rsidRPr="00AE2262">
        <w:rPr>
          <w:rStyle w:val="Emphasis"/>
          <w:color w:val="000000" w:themeColor="text1"/>
          <w:bdr w:val="none" w:sz="0" w:space="0" w:color="auto" w:frame="1"/>
        </w:rPr>
        <w:t>et al</w:t>
      </w:r>
      <w:r w:rsidRPr="00AE2262">
        <w:rPr>
          <w:color w:val="000000" w:themeColor="text1"/>
        </w:rPr>
        <w:t xml:space="preserve">. 2014b; </w:t>
      </w:r>
      <w:proofErr w:type="spellStart"/>
      <w:r w:rsidRPr="00AE2262">
        <w:rPr>
          <w:color w:val="000000" w:themeColor="text1"/>
        </w:rPr>
        <w:t>Bondarczuk</w:t>
      </w:r>
      <w:proofErr w:type="spellEnd"/>
      <w:r w:rsidRPr="00AE2262">
        <w:rPr>
          <w:color w:val="000000" w:themeColor="text1"/>
        </w:rPr>
        <w:t xml:space="preserve">, </w:t>
      </w:r>
      <w:proofErr w:type="spellStart"/>
      <w:r w:rsidRPr="00AE2262">
        <w:rPr>
          <w:color w:val="000000" w:themeColor="text1"/>
        </w:rPr>
        <w:t>Markowicz</w:t>
      </w:r>
      <w:proofErr w:type="spellEnd"/>
      <w:r w:rsidRPr="00AE2262">
        <w:rPr>
          <w:color w:val="000000" w:themeColor="text1"/>
        </w:rPr>
        <w:t xml:space="preserve"> and </w:t>
      </w:r>
      <w:proofErr w:type="spellStart"/>
      <w:r w:rsidRPr="00AE2262">
        <w:rPr>
          <w:color w:val="000000" w:themeColor="text1"/>
        </w:rPr>
        <w:t>Piotrowska-Seget</w:t>
      </w:r>
      <w:proofErr w:type="spellEnd"/>
      <w:r w:rsidRPr="00AE2262">
        <w:rPr>
          <w:color w:val="000000" w:themeColor="text1"/>
        </w:rPr>
        <w:t xml:space="preserve"> 2015), but our understanding of its contribution is still limited. The lack of knowledge of how, and under which circumstances, the environment facilitates resistance development makes mitigation of the emergence and dissemination of mobile resistance factors problematic (</w:t>
      </w:r>
      <w:proofErr w:type="spellStart"/>
      <w:r w:rsidRPr="00AE2262">
        <w:rPr>
          <w:color w:val="000000" w:themeColor="text1"/>
        </w:rPr>
        <w:t>Berendonk</w:t>
      </w:r>
      <w:proofErr w:type="spellEnd"/>
      <w:r w:rsidRPr="00AE2262">
        <w:rPr>
          <w:color w:val="000000" w:themeColor="text1"/>
        </w:rPr>
        <w:t xml:space="preserve"> </w:t>
      </w:r>
      <w:r w:rsidRPr="00AE2262">
        <w:rPr>
          <w:rStyle w:val="Emphasis"/>
          <w:color w:val="000000" w:themeColor="text1"/>
          <w:bdr w:val="none" w:sz="0" w:space="0" w:color="auto" w:frame="1"/>
        </w:rPr>
        <w:t>et al</w:t>
      </w:r>
      <w:r w:rsidRPr="00AE2262">
        <w:rPr>
          <w:color w:val="000000" w:themeColor="text1"/>
        </w:rPr>
        <w:t>. 2015). Several authors have highlighted the need to take on a holistic perspective on antibiotic resistance, including humans, animals and the external environment—a so-called one-health approach (</w:t>
      </w:r>
      <w:proofErr w:type="spellStart"/>
      <w:r w:rsidRPr="00AE2262">
        <w:rPr>
          <w:color w:val="000000" w:themeColor="text1"/>
        </w:rPr>
        <w:t>Collignon</w:t>
      </w:r>
      <w:proofErr w:type="spellEnd"/>
      <w:r w:rsidRPr="00AE2262">
        <w:rPr>
          <w:color w:val="000000" w:themeColor="text1"/>
        </w:rPr>
        <w:t xml:space="preserve"> 2013, 2015; So </w:t>
      </w:r>
      <w:r w:rsidRPr="00AE2262">
        <w:rPr>
          <w:rStyle w:val="Emphasis"/>
          <w:color w:val="000000" w:themeColor="text1"/>
          <w:bdr w:val="none" w:sz="0" w:space="0" w:color="auto" w:frame="1"/>
        </w:rPr>
        <w:t>et al</w:t>
      </w:r>
      <w:r w:rsidRPr="00AE2262">
        <w:rPr>
          <w:color w:val="000000" w:themeColor="text1"/>
        </w:rPr>
        <w:t>. 2015). Increased knowledge of the environmental factors that drive resistance may ultimately allow us to build models for how resistance emerges and is disseminated (</w:t>
      </w:r>
      <w:proofErr w:type="spellStart"/>
      <w:r w:rsidRPr="00AE2262">
        <w:rPr>
          <w:color w:val="000000" w:themeColor="text1"/>
        </w:rPr>
        <w:t>Hiltunen</w:t>
      </w:r>
      <w:proofErr w:type="spellEnd"/>
      <w:r w:rsidRPr="00AE2262">
        <w:rPr>
          <w:color w:val="000000" w:themeColor="text1"/>
        </w:rPr>
        <w:t xml:space="preserve">, </w:t>
      </w:r>
      <w:proofErr w:type="spellStart"/>
      <w:r w:rsidRPr="00AE2262">
        <w:rPr>
          <w:color w:val="000000" w:themeColor="text1"/>
        </w:rPr>
        <w:t>Virta</w:t>
      </w:r>
      <w:proofErr w:type="spellEnd"/>
      <w:r w:rsidRPr="00AE2262">
        <w:rPr>
          <w:color w:val="000000" w:themeColor="text1"/>
        </w:rPr>
        <w:t xml:space="preserve"> and Laine 2017). Although such models would be descriptive at first, as most of their parameters remain unknown, and thus lack predictive power, they still would have value as indicators of the most urgent knowledge gaps to fill in order to develop mitigation strategies.</w:t>
      </w:r>
    </w:p>
    <w:p w:rsidR="001D6453" w:rsidRPr="00AE2262" w:rsidRDefault="001D6453" w:rsidP="00CF6D50">
      <w:pPr>
        <w:pStyle w:val="NormalWeb"/>
        <w:spacing w:before="0" w:beforeAutospacing="0" w:after="0" w:line="240" w:lineRule="atLeast"/>
        <w:textAlignment w:val="baseline"/>
        <w:rPr>
          <w:color w:val="000000" w:themeColor="text1"/>
        </w:rPr>
      </w:pPr>
      <w:r w:rsidRPr="00AE2262">
        <w:rPr>
          <w:color w:val="000000" w:themeColor="text1"/>
        </w:rPr>
        <w:t xml:space="preserve">This paper aims to conceptualize and define the factors that influence the emergence, mobilization, dissemination and maintenance of antibiotic resistance genes in the environment. We have tried to accommodate both ecological and evolutionary aspects, but without any attempt </w:t>
      </w:r>
      <w:r w:rsidRPr="00AE2262">
        <w:rPr>
          <w:color w:val="000000" w:themeColor="text1"/>
        </w:rPr>
        <w:lastRenderedPageBreak/>
        <w:t xml:space="preserve">to fully cover the growing literature on the environmental dimensions of antibiotic resistance (Fig. 1). In order to define those factors, we must first spell out some basic definitions for which ambiguous meanings exist in the literature. In this paper, we follow the operational definition of resistance by Martinez, </w:t>
      </w:r>
      <w:proofErr w:type="spellStart"/>
      <w:r w:rsidRPr="00AE2262">
        <w:rPr>
          <w:color w:val="000000" w:themeColor="text1"/>
        </w:rPr>
        <w:t>Coque</w:t>
      </w:r>
      <w:proofErr w:type="spellEnd"/>
      <w:r w:rsidRPr="00AE2262">
        <w:rPr>
          <w:color w:val="000000" w:themeColor="text1"/>
        </w:rPr>
        <w:t xml:space="preserve"> and </w:t>
      </w:r>
      <w:proofErr w:type="spellStart"/>
      <w:r w:rsidRPr="00AE2262">
        <w:rPr>
          <w:color w:val="000000" w:themeColor="text1"/>
        </w:rPr>
        <w:t>Baquero</w:t>
      </w:r>
      <w:proofErr w:type="spellEnd"/>
      <w:r w:rsidRPr="00AE2262">
        <w:rPr>
          <w:color w:val="000000" w:themeColor="text1"/>
        </w:rPr>
        <w:t xml:space="preserve"> (2015), which postulates that a strain is resistant against an antibiotic if its minimal inhibitory concentration (MIC) is higher than for the corresponding parental wild-type strain. Accordingly, we define a gene as a ‘resistance gene’ (or ‘resistance factor’) when its presence allows a bacterium to withstand a higher antibiotic concentration or when its absence increases susceptibility of the antibiotic (Martinez, </w:t>
      </w:r>
      <w:proofErr w:type="spellStart"/>
      <w:r w:rsidRPr="00AE2262">
        <w:rPr>
          <w:color w:val="000000" w:themeColor="text1"/>
        </w:rPr>
        <w:t>Baquero</w:t>
      </w:r>
      <w:proofErr w:type="spellEnd"/>
      <w:r w:rsidRPr="00AE2262">
        <w:rPr>
          <w:color w:val="000000" w:themeColor="text1"/>
        </w:rPr>
        <w:t xml:space="preserve"> and </w:t>
      </w:r>
      <w:proofErr w:type="spellStart"/>
      <w:r w:rsidRPr="00AE2262">
        <w:rPr>
          <w:color w:val="000000" w:themeColor="text1"/>
        </w:rPr>
        <w:t>Andersson</w:t>
      </w:r>
      <w:proofErr w:type="spellEnd"/>
      <w:r w:rsidRPr="00AE2262">
        <w:rPr>
          <w:color w:val="000000" w:themeColor="text1"/>
        </w:rPr>
        <w:t xml:space="preserve"> 2007), a definition that also includes many non-mobile chromosomal resistance genes. We furthermore define ‘novel’ (or ‘new’) resistance genes as genes that have not previously been described to have a resistance function, regardless of if they appear in pathogens or not, and regardless of if they appear on the bacterial chromosome or on a mobile genetic element. It is complicated to define ecological emergence (de </w:t>
      </w:r>
      <w:proofErr w:type="spellStart"/>
      <w:r w:rsidRPr="00AE2262">
        <w:rPr>
          <w:color w:val="000000" w:themeColor="text1"/>
        </w:rPr>
        <w:t>Haan</w:t>
      </w:r>
      <w:proofErr w:type="spellEnd"/>
      <w:r w:rsidRPr="00AE2262">
        <w:rPr>
          <w:color w:val="000000" w:themeColor="text1"/>
        </w:rPr>
        <w:t xml:space="preserve"> 2006), and depending on the viewpoint several definitions of when resistance genes emerge are possible (</w:t>
      </w:r>
      <w:proofErr w:type="spellStart"/>
      <w:r w:rsidRPr="00AE2262">
        <w:rPr>
          <w:color w:val="000000" w:themeColor="text1"/>
        </w:rPr>
        <w:t>Baquero</w:t>
      </w:r>
      <w:proofErr w:type="spellEnd"/>
      <w:r w:rsidRPr="00AE2262">
        <w:rPr>
          <w:color w:val="000000" w:themeColor="text1"/>
        </w:rPr>
        <w:t xml:space="preserve"> </w:t>
      </w:r>
      <w:r w:rsidRPr="00AE2262">
        <w:rPr>
          <w:rStyle w:val="Emphasis"/>
          <w:color w:val="000000" w:themeColor="text1"/>
          <w:bdr w:val="none" w:sz="0" w:space="0" w:color="auto" w:frame="1"/>
        </w:rPr>
        <w:t>et al</w:t>
      </w:r>
      <w:r w:rsidRPr="00AE2262">
        <w:rPr>
          <w:color w:val="000000" w:themeColor="text1"/>
        </w:rPr>
        <w:t xml:space="preserve">. 2015). </w:t>
      </w:r>
    </w:p>
    <w:p w:rsidR="00AE2262" w:rsidRPr="00AE2262" w:rsidRDefault="00AE2262" w:rsidP="00CF6D50">
      <w:pPr>
        <w:pStyle w:val="NormalWeb"/>
        <w:spacing w:before="0" w:beforeAutospacing="0" w:after="120" w:afterAutospacing="0" w:line="240" w:lineRule="atLeast"/>
        <w:rPr>
          <w:b/>
          <w:color w:val="000000" w:themeColor="text1"/>
        </w:rPr>
      </w:pPr>
      <w:r w:rsidRPr="00AE2262">
        <w:rPr>
          <w:b/>
          <w:color w:val="000000" w:themeColor="text1"/>
        </w:rPr>
        <w:t xml:space="preserve">MOBILIZATION OF RESISTANCE FACTORS </w:t>
      </w:r>
    </w:p>
    <w:p w:rsidR="001D6453" w:rsidRDefault="00AE2262" w:rsidP="00CF6D50">
      <w:pPr>
        <w:pStyle w:val="NormalWeb"/>
        <w:spacing w:before="0" w:beforeAutospacing="0" w:after="120" w:afterAutospacing="0" w:line="240" w:lineRule="atLeast"/>
        <w:jc w:val="both"/>
        <w:rPr>
          <w:color w:val="000000" w:themeColor="text1"/>
        </w:rPr>
      </w:pPr>
      <w:r w:rsidRPr="00AE2262">
        <w:rPr>
          <w:color w:val="000000" w:themeColor="text1"/>
        </w:rPr>
        <w:t xml:space="preserve">Similar to the emergence of novel resistance factors, resistance genes could be mobilized anywhere but need—unless their fitness costs are negligible—a selection pressure to be kept on a mobile genetic element until they have evolved to present </w:t>
      </w:r>
      <w:proofErr w:type="spellStart"/>
      <w:r w:rsidRPr="00AE2262">
        <w:rPr>
          <w:color w:val="000000" w:themeColor="text1"/>
        </w:rPr>
        <w:t>smallerfitnesscoststothehost.Thesubsequentquestiontherefore</w:t>
      </w:r>
      <w:proofErr w:type="spellEnd"/>
      <w:r w:rsidRPr="00AE2262">
        <w:rPr>
          <w:color w:val="000000" w:themeColor="text1"/>
        </w:rPr>
        <w:t xml:space="preserve"> becomes: where are selection pressures strong enough to promote mobilization of chromosomal resistance genes and maintenance of already mobile resistance genes? Resistance factors that have recently been mobilized onto a mobile genetic element are likely to often be associated with increased fitness costs, associated with the burden of keeping multiple copies of the same gene and the difficulty to maintain expression control </w:t>
      </w:r>
      <w:proofErr w:type="spellStart"/>
      <w:r w:rsidRPr="00AE2262">
        <w:rPr>
          <w:color w:val="000000" w:themeColor="text1"/>
        </w:rPr>
        <w:t>ofthegeneonamobileelement.Thismeansthatenvironments</w:t>
      </w:r>
      <w:proofErr w:type="spellEnd"/>
      <w:r w:rsidRPr="00AE2262">
        <w:rPr>
          <w:color w:val="000000" w:themeColor="text1"/>
        </w:rPr>
        <w:t xml:space="preserve"> allowing sustained longevity of a resistance gene regardless of its cost would be of particular importance for the mobilization of resistance determinants. It is then reasonable to assume that once a mobile resistance gene has gained a foothold in a bacterial community, it can subsequently evolve towards </w:t>
      </w:r>
      <w:proofErr w:type="spellStart"/>
      <w:proofErr w:type="gramStart"/>
      <w:r w:rsidRPr="00AE2262">
        <w:rPr>
          <w:color w:val="000000" w:themeColor="text1"/>
        </w:rPr>
        <w:t>diminishedfitnesscost</w:t>
      </w:r>
      <w:proofErr w:type="spellEnd"/>
      <w:r w:rsidRPr="00AE2262">
        <w:rPr>
          <w:color w:val="000000" w:themeColor="text1"/>
        </w:rPr>
        <w:t>(</w:t>
      </w:r>
      <w:proofErr w:type="gramEnd"/>
      <w:r w:rsidRPr="00AE2262">
        <w:rPr>
          <w:color w:val="000000" w:themeColor="text1"/>
        </w:rPr>
        <w:t xml:space="preserve">SalyersandAm´abile-Cuevas1997).Resistance genes with considerably lower fitness costs may of course be recruited to mobile genetic elements, and sub-inhibitory concentrations of an antibiotic could then suffice to select for carriage of them. It is important to consider that resistance genes have </w:t>
      </w:r>
      <w:proofErr w:type="spellStart"/>
      <w:r w:rsidRPr="00AE2262">
        <w:rPr>
          <w:color w:val="000000" w:themeColor="text1"/>
        </w:rPr>
        <w:t>evolvedinacontextofcompetitionandinteractionbetweendifferent</w:t>
      </w:r>
      <w:proofErr w:type="spellEnd"/>
      <w:r w:rsidRPr="00AE2262">
        <w:rPr>
          <w:color w:val="000000" w:themeColor="text1"/>
        </w:rPr>
        <w:t xml:space="preserve"> species, some of which may use antibiotics as warfare agents. Thus, both known and novel resistance determinants </w:t>
      </w:r>
      <w:proofErr w:type="spellStart"/>
      <w:r w:rsidRPr="00AE2262">
        <w:rPr>
          <w:color w:val="000000" w:themeColor="text1"/>
        </w:rPr>
        <w:t>canbeselectedfornaturally,iftheyconferacompetitiveadvantage</w:t>
      </w:r>
      <w:proofErr w:type="spellEnd"/>
      <w:r w:rsidRPr="00AE2262">
        <w:rPr>
          <w:color w:val="000000" w:themeColor="text1"/>
        </w:rPr>
        <w:t xml:space="preserve"> against antibiotics producers, or allow host bacteria to </w:t>
      </w:r>
      <w:proofErr w:type="spellStart"/>
      <w:r w:rsidRPr="00AE2262">
        <w:rPr>
          <w:color w:val="000000" w:themeColor="text1"/>
        </w:rPr>
        <w:t>survivehigherconcentrationsofanantibioticthattheythemselves</w:t>
      </w:r>
      <w:proofErr w:type="spellEnd"/>
      <w:r w:rsidRPr="00AE2262">
        <w:rPr>
          <w:color w:val="000000" w:themeColor="text1"/>
        </w:rPr>
        <w:t xml:space="preserve"> </w:t>
      </w:r>
      <w:proofErr w:type="spellStart"/>
      <w:r w:rsidRPr="00AE2262">
        <w:rPr>
          <w:color w:val="000000" w:themeColor="text1"/>
        </w:rPr>
        <w:t>produce.Such</w:t>
      </w:r>
      <w:proofErr w:type="spellEnd"/>
      <w:r w:rsidRPr="00AE2262">
        <w:rPr>
          <w:color w:val="000000" w:themeColor="text1"/>
        </w:rPr>
        <w:t xml:space="preserve"> natural selection processes contribute to preserving an environmental pool of resistance genes, but only </w:t>
      </w:r>
      <w:proofErr w:type="spellStart"/>
      <w:r w:rsidRPr="00AE2262">
        <w:rPr>
          <w:color w:val="000000" w:themeColor="text1"/>
        </w:rPr>
        <w:t>indirectlytofurtherestablishmentofresistancegenesinpathogens</w:t>
      </w:r>
      <w:proofErr w:type="spellEnd"/>
      <w:r w:rsidRPr="00AE2262">
        <w:rPr>
          <w:color w:val="000000" w:themeColor="text1"/>
        </w:rPr>
        <w:t xml:space="preserve">, as they are unlikely to drive mobilization of resistance factors. An oft-neglected aspect of resistance gene mobilization is that a resistance gene can also be mobilized onto a </w:t>
      </w:r>
      <w:proofErr w:type="spellStart"/>
      <w:r w:rsidRPr="00AE2262">
        <w:rPr>
          <w:color w:val="000000" w:themeColor="text1"/>
        </w:rPr>
        <w:t>nontransferrable</w:t>
      </w:r>
      <w:proofErr w:type="spellEnd"/>
      <w:r w:rsidRPr="00AE2262">
        <w:rPr>
          <w:color w:val="000000" w:themeColor="text1"/>
        </w:rPr>
        <w:t xml:space="preserve"> mobile genetic element, such as an </w:t>
      </w:r>
      <w:proofErr w:type="spellStart"/>
      <w:r w:rsidRPr="00AE2262">
        <w:rPr>
          <w:color w:val="000000" w:themeColor="text1"/>
        </w:rPr>
        <w:t>integron</w:t>
      </w:r>
      <w:proofErr w:type="spellEnd"/>
      <w:r w:rsidRPr="00AE2262">
        <w:rPr>
          <w:color w:val="000000" w:themeColor="text1"/>
        </w:rPr>
        <w:t xml:space="preserve"> (</w:t>
      </w:r>
      <w:proofErr w:type="spellStart"/>
      <w:r w:rsidRPr="00AE2262">
        <w:rPr>
          <w:color w:val="000000" w:themeColor="text1"/>
        </w:rPr>
        <w:t>Gillings</w:t>
      </w:r>
      <w:proofErr w:type="spellEnd"/>
      <w:r w:rsidRPr="00AE2262">
        <w:rPr>
          <w:color w:val="000000" w:themeColor="text1"/>
        </w:rPr>
        <w:t xml:space="preserve"> 2017a). The cost-benefit tradeoffs for such mobilization are poorly investigated, but it can be imagined that on the positive side for the bacterium, this provides a mechanism for gene duplication and subsequent </w:t>
      </w:r>
      <w:proofErr w:type="spellStart"/>
      <w:r w:rsidRPr="00AE2262">
        <w:rPr>
          <w:color w:val="000000" w:themeColor="text1"/>
        </w:rPr>
        <w:t>neofunctionalization</w:t>
      </w:r>
      <w:proofErr w:type="spellEnd"/>
      <w:r w:rsidRPr="00AE2262">
        <w:rPr>
          <w:color w:val="000000" w:themeColor="text1"/>
        </w:rPr>
        <w:t xml:space="preserve">. This may </w:t>
      </w:r>
      <w:proofErr w:type="spellStart"/>
      <w:r w:rsidRPr="00AE2262">
        <w:rPr>
          <w:color w:val="000000" w:themeColor="text1"/>
        </w:rPr>
        <w:t>increasetheexpressionlevelsofaresistancegeneorcontributeto</w:t>
      </w:r>
      <w:proofErr w:type="spellEnd"/>
      <w:r w:rsidRPr="00AE2262">
        <w:rPr>
          <w:color w:val="000000" w:themeColor="text1"/>
        </w:rPr>
        <w:t xml:space="preserve"> fine-tuning of its expression, both of which could be beneficial </w:t>
      </w:r>
      <w:proofErr w:type="spellStart"/>
      <w:r w:rsidRPr="00AE2262">
        <w:rPr>
          <w:color w:val="000000" w:themeColor="text1"/>
        </w:rPr>
        <w:t>underantibioticselection.Onthenegativeside</w:t>
      </w:r>
      <w:proofErr w:type="gramStart"/>
      <w:r w:rsidRPr="00AE2262">
        <w:rPr>
          <w:color w:val="000000" w:themeColor="text1"/>
        </w:rPr>
        <w:t>,transpositionof</w:t>
      </w:r>
      <w:proofErr w:type="spellEnd"/>
      <w:proofErr w:type="gramEnd"/>
      <w:r w:rsidRPr="00AE2262">
        <w:rPr>
          <w:color w:val="000000" w:themeColor="text1"/>
        </w:rPr>
        <w:t xml:space="preserve"> a gene may </w:t>
      </w:r>
      <w:r w:rsidRPr="00AE2262">
        <w:rPr>
          <w:color w:val="000000" w:themeColor="text1"/>
        </w:rPr>
        <w:lastRenderedPageBreak/>
        <w:t xml:space="preserve">result in disruption of other genes or loss of expression control, both of which could reduce the overall fitness of the bacterium. The extent to which mobilization into chromosomal mobile elements contribute to the development of transferrable antibiotic resistance is virtually unknown, but it could </w:t>
      </w:r>
      <w:proofErr w:type="spellStart"/>
      <w:r w:rsidRPr="00AE2262">
        <w:rPr>
          <w:color w:val="000000" w:themeColor="text1"/>
        </w:rPr>
        <w:t>potentiallybeanimportantsteptowardsresistancerecruitment</w:t>
      </w:r>
      <w:proofErr w:type="spellEnd"/>
      <w:r w:rsidRPr="00AE2262">
        <w:rPr>
          <w:color w:val="000000" w:themeColor="text1"/>
        </w:rPr>
        <w:t xml:space="preserve"> onto plasmids as </w:t>
      </w:r>
      <w:proofErr w:type="spellStart"/>
      <w:r w:rsidRPr="00AE2262">
        <w:rPr>
          <w:color w:val="000000" w:themeColor="text1"/>
        </w:rPr>
        <w:t>integrons</w:t>
      </w:r>
      <w:proofErr w:type="spellEnd"/>
      <w:r w:rsidRPr="00AE2262">
        <w:rPr>
          <w:color w:val="000000" w:themeColor="text1"/>
        </w:rPr>
        <w:t xml:space="preserve"> often act in tandem with plasmids </w:t>
      </w:r>
      <w:proofErr w:type="spellStart"/>
      <w:r w:rsidRPr="00AE2262">
        <w:rPr>
          <w:color w:val="000000" w:themeColor="text1"/>
        </w:rPr>
        <w:t>andtransposonsthataretransferrablebetweencells</w:t>
      </w:r>
      <w:proofErr w:type="spellEnd"/>
      <w:r w:rsidRPr="00AE2262">
        <w:rPr>
          <w:color w:val="000000" w:themeColor="text1"/>
        </w:rPr>
        <w:t>(</w:t>
      </w:r>
      <w:proofErr w:type="spellStart"/>
      <w:r w:rsidRPr="00AE2262">
        <w:rPr>
          <w:color w:val="000000" w:themeColor="text1"/>
        </w:rPr>
        <w:t>Stokesand</w:t>
      </w:r>
      <w:proofErr w:type="spellEnd"/>
      <w:r w:rsidRPr="00AE2262">
        <w:rPr>
          <w:color w:val="000000" w:themeColor="text1"/>
        </w:rPr>
        <w:t xml:space="preserve"> </w:t>
      </w:r>
      <w:proofErr w:type="spellStart"/>
      <w:r w:rsidRPr="00AE2262">
        <w:rPr>
          <w:color w:val="000000" w:themeColor="text1"/>
        </w:rPr>
        <w:t>Gillings</w:t>
      </w:r>
      <w:proofErr w:type="spellEnd"/>
      <w:r w:rsidRPr="00AE2262">
        <w:rPr>
          <w:color w:val="000000" w:themeColor="text1"/>
        </w:rPr>
        <w:t xml:space="preserve"> 2011). Importantly, while </w:t>
      </w:r>
      <w:proofErr w:type="spellStart"/>
      <w:r w:rsidRPr="00AE2262">
        <w:rPr>
          <w:color w:val="000000" w:themeColor="text1"/>
        </w:rPr>
        <w:t>integrons</w:t>
      </w:r>
      <w:proofErr w:type="spellEnd"/>
      <w:r w:rsidRPr="00AE2262">
        <w:rPr>
          <w:color w:val="000000" w:themeColor="text1"/>
        </w:rPr>
        <w:t xml:space="preserve"> function as effective gene relocation devices that can capture a wide range of resistance genes, a selection pressure for resistance is still the main force upholding such relocations in bacterial genomes.</w:t>
      </w:r>
    </w:p>
    <w:p w:rsidR="00CF6D50" w:rsidRPr="00CF6D50" w:rsidRDefault="00CF6D50" w:rsidP="00CF6D50">
      <w:pPr>
        <w:pStyle w:val="NormalWeb"/>
        <w:spacing w:before="0" w:beforeAutospacing="0" w:after="120" w:afterAutospacing="0" w:line="240" w:lineRule="atLeast"/>
        <w:jc w:val="both"/>
        <w:rPr>
          <w:b/>
          <w:color w:val="000000" w:themeColor="text1"/>
        </w:rPr>
      </w:pPr>
      <w:r w:rsidRPr="00CF6D50">
        <w:rPr>
          <w:rFonts w:ascii="Arial" w:hAnsi="Arial" w:cs="Arial"/>
          <w:b/>
          <w:color w:val="222222"/>
          <w:sz w:val="21"/>
          <w:szCs w:val="21"/>
        </w:rPr>
        <w:t xml:space="preserve">The </w:t>
      </w:r>
      <w:r w:rsidRPr="00CF6D50">
        <w:rPr>
          <w:rFonts w:ascii="Arial" w:hAnsi="Arial" w:cs="Arial"/>
          <w:b/>
          <w:bCs/>
          <w:color w:val="222222"/>
          <w:sz w:val="21"/>
          <w:szCs w:val="21"/>
        </w:rPr>
        <w:t>immune system</w:t>
      </w:r>
    </w:p>
    <w:p w:rsidR="00157810" w:rsidRDefault="00157810" w:rsidP="00CF6D50">
      <w:pPr>
        <w:pStyle w:val="NormalWeb"/>
        <w:spacing w:before="0" w:beforeAutospacing="0" w:after="120" w:afterAutospacing="0" w:line="240" w:lineRule="atLeast"/>
        <w:rPr>
          <w:rFonts w:ascii="Arial" w:hAnsi="Arial" w:cs="Arial"/>
          <w:color w:val="222222"/>
          <w:sz w:val="21"/>
          <w:szCs w:val="21"/>
        </w:rPr>
      </w:pPr>
    </w:p>
    <w:p w:rsidR="00157810" w:rsidRPr="00CF6D50" w:rsidRDefault="00157810" w:rsidP="00CF6D50">
      <w:pPr>
        <w:pStyle w:val="NormalWeb"/>
        <w:spacing w:before="0" w:beforeAutospacing="0" w:after="120" w:afterAutospacing="0" w:line="240" w:lineRule="atLeast"/>
        <w:rPr>
          <w:rFonts w:ascii="Arial" w:hAnsi="Arial" w:cs="Arial"/>
          <w:color w:val="000000" w:themeColor="text1"/>
          <w:sz w:val="21"/>
          <w:szCs w:val="21"/>
        </w:rPr>
      </w:pPr>
      <w:r w:rsidRPr="00CF6D50">
        <w:rPr>
          <w:rFonts w:ascii="Arial" w:hAnsi="Arial" w:cs="Arial"/>
          <w:color w:val="000000" w:themeColor="text1"/>
          <w:sz w:val="21"/>
          <w:szCs w:val="21"/>
        </w:rPr>
        <w:t xml:space="preserve">The </w:t>
      </w:r>
      <w:r w:rsidRPr="00CF6D50">
        <w:rPr>
          <w:rFonts w:ascii="Arial" w:hAnsi="Arial" w:cs="Arial"/>
          <w:bCs/>
          <w:color w:val="000000" w:themeColor="text1"/>
          <w:sz w:val="21"/>
          <w:szCs w:val="21"/>
        </w:rPr>
        <w:t>immune system</w:t>
      </w:r>
      <w:r w:rsidRPr="00CF6D50">
        <w:rPr>
          <w:rFonts w:ascii="Arial" w:hAnsi="Arial" w:cs="Arial"/>
          <w:color w:val="000000" w:themeColor="text1"/>
          <w:sz w:val="21"/>
          <w:szCs w:val="21"/>
        </w:rPr>
        <w:t xml:space="preserve"> is a host defense system comprising many biological structures and </w:t>
      </w:r>
      <w:hyperlink r:id="rId54" w:tooltip="Biological process" w:history="1">
        <w:r w:rsidRPr="00CF6D50">
          <w:rPr>
            <w:rStyle w:val="Hyperlink"/>
            <w:rFonts w:ascii="Arial" w:hAnsi="Arial" w:cs="Arial"/>
            <w:color w:val="000000" w:themeColor="text1"/>
            <w:sz w:val="21"/>
            <w:szCs w:val="21"/>
            <w:u w:val="none"/>
          </w:rPr>
          <w:t>processes</w:t>
        </w:r>
      </w:hyperlink>
      <w:r w:rsidRPr="00CF6D50">
        <w:rPr>
          <w:rFonts w:ascii="Arial" w:hAnsi="Arial" w:cs="Arial"/>
          <w:color w:val="000000" w:themeColor="text1"/>
          <w:sz w:val="21"/>
          <w:szCs w:val="21"/>
        </w:rPr>
        <w:t xml:space="preserve"> within an </w:t>
      </w:r>
      <w:hyperlink r:id="rId55" w:tooltip="Organism" w:history="1">
        <w:r w:rsidRPr="00CF6D50">
          <w:rPr>
            <w:rStyle w:val="Hyperlink"/>
            <w:rFonts w:ascii="Arial" w:hAnsi="Arial" w:cs="Arial"/>
            <w:color w:val="000000" w:themeColor="text1"/>
            <w:sz w:val="21"/>
            <w:szCs w:val="21"/>
            <w:u w:val="none"/>
          </w:rPr>
          <w:t>organism</w:t>
        </w:r>
      </w:hyperlink>
      <w:r w:rsidRPr="00CF6D50">
        <w:rPr>
          <w:rFonts w:ascii="Arial" w:hAnsi="Arial" w:cs="Arial"/>
          <w:color w:val="000000" w:themeColor="text1"/>
          <w:sz w:val="21"/>
          <w:szCs w:val="21"/>
        </w:rPr>
        <w:t xml:space="preserve"> that protects against </w:t>
      </w:r>
      <w:hyperlink r:id="rId56" w:tooltip="Disease" w:history="1">
        <w:r w:rsidRPr="00CF6D50">
          <w:rPr>
            <w:rStyle w:val="Hyperlink"/>
            <w:rFonts w:ascii="Arial" w:hAnsi="Arial" w:cs="Arial"/>
            <w:color w:val="000000" w:themeColor="text1"/>
            <w:sz w:val="21"/>
            <w:szCs w:val="21"/>
            <w:u w:val="none"/>
          </w:rPr>
          <w:t>disease</w:t>
        </w:r>
      </w:hyperlink>
      <w:r w:rsidRPr="00CF6D50">
        <w:rPr>
          <w:rFonts w:ascii="Arial" w:hAnsi="Arial" w:cs="Arial"/>
          <w:color w:val="000000" w:themeColor="text1"/>
          <w:sz w:val="21"/>
          <w:szCs w:val="21"/>
        </w:rPr>
        <w:t xml:space="preserve">. To function properly, an immune system must detect a wide variety of agents, known as </w:t>
      </w:r>
      <w:hyperlink r:id="rId57" w:tooltip="Pathogen" w:history="1">
        <w:r w:rsidRPr="00CF6D50">
          <w:rPr>
            <w:rStyle w:val="Hyperlink"/>
            <w:rFonts w:ascii="Arial" w:hAnsi="Arial" w:cs="Arial"/>
            <w:color w:val="000000" w:themeColor="text1"/>
            <w:sz w:val="21"/>
            <w:szCs w:val="21"/>
            <w:u w:val="none"/>
          </w:rPr>
          <w:t>pathogens</w:t>
        </w:r>
      </w:hyperlink>
      <w:r w:rsidRPr="00CF6D50">
        <w:rPr>
          <w:rFonts w:ascii="Arial" w:hAnsi="Arial" w:cs="Arial"/>
          <w:color w:val="000000" w:themeColor="text1"/>
          <w:sz w:val="21"/>
          <w:szCs w:val="21"/>
        </w:rPr>
        <w:t xml:space="preserve">, from </w:t>
      </w:r>
      <w:hyperlink r:id="rId58" w:tooltip="Virus" w:history="1">
        <w:r w:rsidRPr="00CF6D50">
          <w:rPr>
            <w:rStyle w:val="Hyperlink"/>
            <w:rFonts w:ascii="Arial" w:hAnsi="Arial" w:cs="Arial"/>
            <w:color w:val="000000" w:themeColor="text1"/>
            <w:sz w:val="21"/>
            <w:szCs w:val="21"/>
            <w:u w:val="none"/>
          </w:rPr>
          <w:t>viruses</w:t>
        </w:r>
      </w:hyperlink>
      <w:r w:rsidRPr="00CF6D50">
        <w:rPr>
          <w:rFonts w:ascii="Arial" w:hAnsi="Arial" w:cs="Arial"/>
          <w:color w:val="000000" w:themeColor="text1"/>
          <w:sz w:val="21"/>
          <w:szCs w:val="21"/>
        </w:rPr>
        <w:t xml:space="preserve"> to </w:t>
      </w:r>
      <w:hyperlink r:id="rId59" w:tooltip="Parasitic worm" w:history="1">
        <w:r w:rsidRPr="00CF6D50">
          <w:rPr>
            <w:rStyle w:val="Hyperlink"/>
            <w:rFonts w:ascii="Arial" w:hAnsi="Arial" w:cs="Arial"/>
            <w:color w:val="000000" w:themeColor="text1"/>
            <w:sz w:val="21"/>
            <w:szCs w:val="21"/>
            <w:u w:val="none"/>
          </w:rPr>
          <w:t>parasitic worms</w:t>
        </w:r>
      </w:hyperlink>
      <w:r w:rsidRPr="00CF6D50">
        <w:rPr>
          <w:rFonts w:ascii="Arial" w:hAnsi="Arial" w:cs="Arial"/>
          <w:color w:val="000000" w:themeColor="text1"/>
          <w:sz w:val="21"/>
          <w:szCs w:val="21"/>
        </w:rPr>
        <w:t xml:space="preserve">, and </w:t>
      </w:r>
      <w:hyperlink r:id="rId60" w:tooltip="Major histocompatibility complex" w:history="1">
        <w:r w:rsidRPr="00CF6D50">
          <w:rPr>
            <w:rStyle w:val="Hyperlink"/>
            <w:rFonts w:ascii="Arial" w:hAnsi="Arial" w:cs="Arial"/>
            <w:color w:val="000000" w:themeColor="text1"/>
            <w:sz w:val="21"/>
            <w:szCs w:val="21"/>
            <w:u w:val="none"/>
          </w:rPr>
          <w:t>distinguish</w:t>
        </w:r>
      </w:hyperlink>
      <w:r w:rsidRPr="00CF6D50">
        <w:rPr>
          <w:rFonts w:ascii="Arial" w:hAnsi="Arial" w:cs="Arial"/>
          <w:color w:val="000000" w:themeColor="text1"/>
          <w:sz w:val="21"/>
          <w:szCs w:val="21"/>
        </w:rPr>
        <w:t xml:space="preserve"> them from the organism's own healthy </w:t>
      </w:r>
      <w:hyperlink r:id="rId61" w:tooltip="Biological tissue" w:history="1">
        <w:r w:rsidRPr="00CF6D50">
          <w:rPr>
            <w:rStyle w:val="Hyperlink"/>
            <w:rFonts w:ascii="Arial" w:hAnsi="Arial" w:cs="Arial"/>
            <w:color w:val="000000" w:themeColor="text1"/>
            <w:sz w:val="21"/>
            <w:szCs w:val="21"/>
            <w:u w:val="none"/>
          </w:rPr>
          <w:t>tissue</w:t>
        </w:r>
      </w:hyperlink>
      <w:r w:rsidRPr="00CF6D50">
        <w:rPr>
          <w:rFonts w:ascii="Arial" w:hAnsi="Arial" w:cs="Arial"/>
          <w:color w:val="000000" w:themeColor="text1"/>
          <w:sz w:val="21"/>
          <w:szCs w:val="21"/>
        </w:rPr>
        <w:t xml:space="preserve">. In many species, there are two major subsystems of the immune system: the </w:t>
      </w:r>
      <w:hyperlink r:id="rId62" w:tooltip="Innate immune system" w:history="1">
        <w:r w:rsidRPr="00CF6D50">
          <w:rPr>
            <w:rStyle w:val="Hyperlink"/>
            <w:rFonts w:ascii="Arial" w:hAnsi="Arial" w:cs="Arial"/>
            <w:color w:val="000000" w:themeColor="text1"/>
            <w:sz w:val="21"/>
            <w:szCs w:val="21"/>
            <w:u w:val="none"/>
          </w:rPr>
          <w:t>innate immune system</w:t>
        </w:r>
      </w:hyperlink>
      <w:r w:rsidRPr="00CF6D50">
        <w:rPr>
          <w:rFonts w:ascii="Arial" w:hAnsi="Arial" w:cs="Arial"/>
          <w:color w:val="000000" w:themeColor="text1"/>
          <w:sz w:val="21"/>
          <w:szCs w:val="21"/>
        </w:rPr>
        <w:t xml:space="preserve"> and the </w:t>
      </w:r>
      <w:hyperlink r:id="rId63" w:tooltip="Adaptive immune system" w:history="1">
        <w:r w:rsidRPr="00CF6D50">
          <w:rPr>
            <w:rStyle w:val="Hyperlink"/>
            <w:rFonts w:ascii="Arial" w:hAnsi="Arial" w:cs="Arial"/>
            <w:color w:val="000000" w:themeColor="text1"/>
            <w:sz w:val="21"/>
            <w:szCs w:val="21"/>
            <w:u w:val="none"/>
          </w:rPr>
          <w:t>adaptive immune system</w:t>
        </w:r>
      </w:hyperlink>
      <w:r w:rsidRPr="00CF6D50">
        <w:rPr>
          <w:rFonts w:ascii="Arial" w:hAnsi="Arial" w:cs="Arial"/>
          <w:color w:val="000000" w:themeColor="text1"/>
          <w:sz w:val="21"/>
          <w:szCs w:val="21"/>
        </w:rPr>
        <w:t xml:space="preserve">. Both subsystems use </w:t>
      </w:r>
      <w:hyperlink r:id="rId64" w:tooltip="Humoral immunity" w:history="1">
        <w:r w:rsidRPr="00CF6D50">
          <w:rPr>
            <w:rStyle w:val="Hyperlink"/>
            <w:rFonts w:ascii="Arial" w:hAnsi="Arial" w:cs="Arial"/>
            <w:color w:val="000000" w:themeColor="text1"/>
            <w:sz w:val="21"/>
            <w:szCs w:val="21"/>
            <w:u w:val="none"/>
          </w:rPr>
          <w:t>humoral immunity</w:t>
        </w:r>
      </w:hyperlink>
      <w:r w:rsidRPr="00CF6D50">
        <w:rPr>
          <w:rFonts w:ascii="Arial" w:hAnsi="Arial" w:cs="Arial"/>
          <w:color w:val="000000" w:themeColor="text1"/>
          <w:sz w:val="21"/>
          <w:szCs w:val="21"/>
        </w:rPr>
        <w:t xml:space="preserve"> and </w:t>
      </w:r>
      <w:hyperlink r:id="rId65" w:tooltip="Cell-mediated immunity" w:history="1">
        <w:r w:rsidRPr="00CF6D50">
          <w:rPr>
            <w:rStyle w:val="Hyperlink"/>
            <w:rFonts w:ascii="Arial" w:hAnsi="Arial" w:cs="Arial"/>
            <w:color w:val="000000" w:themeColor="text1"/>
            <w:sz w:val="21"/>
            <w:szCs w:val="21"/>
            <w:u w:val="none"/>
          </w:rPr>
          <w:t>cell-mediated immunity</w:t>
        </w:r>
      </w:hyperlink>
      <w:r w:rsidRPr="00CF6D50">
        <w:rPr>
          <w:rFonts w:ascii="Arial" w:hAnsi="Arial" w:cs="Arial"/>
          <w:color w:val="000000" w:themeColor="text1"/>
          <w:sz w:val="21"/>
          <w:szCs w:val="21"/>
        </w:rPr>
        <w:t xml:space="preserve"> to perform their functions. In humans, the </w:t>
      </w:r>
      <w:hyperlink r:id="rId66" w:tooltip="Blood–brain barrier" w:history="1">
        <w:r w:rsidRPr="00CF6D50">
          <w:rPr>
            <w:rStyle w:val="Hyperlink"/>
            <w:rFonts w:ascii="Arial" w:hAnsi="Arial" w:cs="Arial"/>
            <w:color w:val="000000" w:themeColor="text1"/>
            <w:sz w:val="21"/>
            <w:szCs w:val="21"/>
            <w:u w:val="none"/>
          </w:rPr>
          <w:t>blood–brain barrier</w:t>
        </w:r>
      </w:hyperlink>
      <w:r w:rsidRPr="00CF6D50">
        <w:rPr>
          <w:rFonts w:ascii="Arial" w:hAnsi="Arial" w:cs="Arial"/>
          <w:color w:val="000000" w:themeColor="text1"/>
          <w:sz w:val="21"/>
          <w:szCs w:val="21"/>
        </w:rPr>
        <w:t xml:space="preserve">, </w:t>
      </w:r>
      <w:hyperlink r:id="rId67" w:tooltip="Blood–cerebrospinal fluid barrier" w:history="1">
        <w:r w:rsidRPr="00CF6D50">
          <w:rPr>
            <w:rStyle w:val="Hyperlink"/>
            <w:rFonts w:ascii="Arial" w:hAnsi="Arial" w:cs="Arial"/>
            <w:color w:val="000000" w:themeColor="text1"/>
            <w:sz w:val="21"/>
            <w:szCs w:val="21"/>
            <w:u w:val="none"/>
          </w:rPr>
          <w:t>blood–cerebrospinal fluid barrier</w:t>
        </w:r>
      </w:hyperlink>
      <w:r w:rsidRPr="00CF6D50">
        <w:rPr>
          <w:rFonts w:ascii="Arial" w:hAnsi="Arial" w:cs="Arial"/>
          <w:color w:val="000000" w:themeColor="text1"/>
          <w:sz w:val="21"/>
          <w:szCs w:val="21"/>
        </w:rPr>
        <w:t xml:space="preserve">, and similar fluid–brain barriers separate the peripheral immune system from the </w:t>
      </w:r>
      <w:hyperlink r:id="rId68" w:tooltip="Neuroimmune system" w:history="1">
        <w:proofErr w:type="spellStart"/>
        <w:r w:rsidRPr="00CF6D50">
          <w:rPr>
            <w:rStyle w:val="Hyperlink"/>
            <w:rFonts w:ascii="Arial" w:hAnsi="Arial" w:cs="Arial"/>
            <w:color w:val="000000" w:themeColor="text1"/>
            <w:sz w:val="21"/>
            <w:szCs w:val="21"/>
            <w:u w:val="none"/>
          </w:rPr>
          <w:t>neuroimmune</w:t>
        </w:r>
        <w:proofErr w:type="spellEnd"/>
        <w:r w:rsidRPr="00CF6D50">
          <w:rPr>
            <w:rStyle w:val="Hyperlink"/>
            <w:rFonts w:ascii="Arial" w:hAnsi="Arial" w:cs="Arial"/>
            <w:color w:val="000000" w:themeColor="text1"/>
            <w:sz w:val="21"/>
            <w:szCs w:val="21"/>
            <w:u w:val="none"/>
          </w:rPr>
          <w:t xml:space="preserve"> system</w:t>
        </w:r>
      </w:hyperlink>
      <w:r w:rsidRPr="00CF6D50">
        <w:rPr>
          <w:rFonts w:ascii="Arial" w:hAnsi="Arial" w:cs="Arial"/>
          <w:color w:val="000000" w:themeColor="text1"/>
          <w:sz w:val="21"/>
          <w:szCs w:val="21"/>
        </w:rPr>
        <w:t xml:space="preserve">, which protects the </w:t>
      </w:r>
      <w:hyperlink r:id="rId69" w:tooltip="Human brain" w:history="1">
        <w:r w:rsidRPr="00CF6D50">
          <w:rPr>
            <w:rStyle w:val="Hyperlink"/>
            <w:rFonts w:ascii="Arial" w:hAnsi="Arial" w:cs="Arial"/>
            <w:color w:val="000000" w:themeColor="text1"/>
            <w:sz w:val="21"/>
            <w:szCs w:val="21"/>
            <w:u w:val="none"/>
          </w:rPr>
          <w:t>brain</w:t>
        </w:r>
      </w:hyperlink>
      <w:r w:rsidRPr="00CF6D50">
        <w:rPr>
          <w:rFonts w:ascii="Arial" w:hAnsi="Arial" w:cs="Arial"/>
          <w:color w:val="000000" w:themeColor="text1"/>
          <w:sz w:val="21"/>
          <w:szCs w:val="21"/>
        </w:rPr>
        <w:t xml:space="preserve">. </w:t>
      </w:r>
    </w:p>
    <w:p w:rsidR="00157810" w:rsidRPr="00CF6D50" w:rsidRDefault="00157810" w:rsidP="00CF6D50">
      <w:pPr>
        <w:pStyle w:val="NormalWeb"/>
        <w:spacing w:before="0" w:beforeAutospacing="0" w:after="120" w:afterAutospacing="0" w:line="240" w:lineRule="atLeast"/>
        <w:rPr>
          <w:rFonts w:ascii="Arial" w:hAnsi="Arial" w:cs="Arial"/>
          <w:color w:val="000000" w:themeColor="text1"/>
          <w:sz w:val="21"/>
          <w:szCs w:val="21"/>
        </w:rPr>
      </w:pPr>
      <w:r w:rsidRPr="00CF6D50">
        <w:rPr>
          <w:rFonts w:ascii="Arial" w:hAnsi="Arial" w:cs="Arial"/>
          <w:color w:val="000000" w:themeColor="text1"/>
          <w:sz w:val="21"/>
          <w:szCs w:val="21"/>
        </w:rPr>
        <w:t xml:space="preserve">Pathogens can rapidly </w:t>
      </w:r>
      <w:hyperlink r:id="rId70" w:tooltip="Evolution" w:history="1">
        <w:r w:rsidRPr="00CF6D50">
          <w:rPr>
            <w:rStyle w:val="Hyperlink"/>
            <w:rFonts w:ascii="Arial" w:hAnsi="Arial" w:cs="Arial"/>
            <w:color w:val="000000" w:themeColor="text1"/>
            <w:sz w:val="21"/>
            <w:szCs w:val="21"/>
            <w:u w:val="none"/>
          </w:rPr>
          <w:t>evolve</w:t>
        </w:r>
      </w:hyperlink>
      <w:r w:rsidRPr="00CF6D50">
        <w:rPr>
          <w:rFonts w:ascii="Arial" w:hAnsi="Arial" w:cs="Arial"/>
          <w:color w:val="000000" w:themeColor="text1"/>
          <w:sz w:val="21"/>
          <w:szCs w:val="21"/>
        </w:rPr>
        <w:t xml:space="preserve"> and adapt, and thereby avoid detection and neutralization by the immune system; however, multiple defense mechanisms have also evolved to recognize and neutralize pathogens. Even simple </w:t>
      </w:r>
      <w:hyperlink r:id="rId71" w:tooltip="Microorganism" w:history="1">
        <w:r w:rsidRPr="00CF6D50">
          <w:rPr>
            <w:rStyle w:val="Hyperlink"/>
            <w:rFonts w:ascii="Arial" w:hAnsi="Arial" w:cs="Arial"/>
            <w:color w:val="000000" w:themeColor="text1"/>
            <w:sz w:val="21"/>
            <w:szCs w:val="21"/>
            <w:u w:val="none"/>
          </w:rPr>
          <w:t>unicellular</w:t>
        </w:r>
      </w:hyperlink>
      <w:r w:rsidRPr="00CF6D50">
        <w:rPr>
          <w:rFonts w:ascii="Arial" w:hAnsi="Arial" w:cs="Arial"/>
          <w:color w:val="000000" w:themeColor="text1"/>
          <w:sz w:val="21"/>
          <w:szCs w:val="21"/>
        </w:rPr>
        <w:t xml:space="preserve"> organisms such as </w:t>
      </w:r>
      <w:hyperlink r:id="rId72" w:tooltip="Bacteria" w:history="1">
        <w:r w:rsidRPr="00CF6D50">
          <w:rPr>
            <w:rStyle w:val="Hyperlink"/>
            <w:rFonts w:ascii="Arial" w:hAnsi="Arial" w:cs="Arial"/>
            <w:color w:val="000000" w:themeColor="text1"/>
            <w:sz w:val="21"/>
            <w:szCs w:val="21"/>
            <w:u w:val="none"/>
          </w:rPr>
          <w:t>bacteria</w:t>
        </w:r>
      </w:hyperlink>
      <w:r w:rsidRPr="00CF6D50">
        <w:rPr>
          <w:rFonts w:ascii="Arial" w:hAnsi="Arial" w:cs="Arial"/>
          <w:color w:val="000000" w:themeColor="text1"/>
          <w:sz w:val="21"/>
          <w:szCs w:val="21"/>
        </w:rPr>
        <w:t xml:space="preserve"> possess a rudimentary immune system in the form of </w:t>
      </w:r>
      <w:hyperlink r:id="rId73" w:tooltip="Enzyme" w:history="1">
        <w:r w:rsidRPr="00CF6D50">
          <w:rPr>
            <w:rStyle w:val="Hyperlink"/>
            <w:rFonts w:ascii="Arial" w:hAnsi="Arial" w:cs="Arial"/>
            <w:color w:val="000000" w:themeColor="text1"/>
            <w:sz w:val="21"/>
            <w:szCs w:val="21"/>
            <w:u w:val="none"/>
          </w:rPr>
          <w:t>enzymes</w:t>
        </w:r>
      </w:hyperlink>
      <w:r w:rsidRPr="00CF6D50">
        <w:rPr>
          <w:rFonts w:ascii="Arial" w:hAnsi="Arial" w:cs="Arial"/>
          <w:color w:val="000000" w:themeColor="text1"/>
          <w:sz w:val="21"/>
          <w:szCs w:val="21"/>
        </w:rPr>
        <w:t xml:space="preserve"> that protect against </w:t>
      </w:r>
      <w:hyperlink r:id="rId74" w:tooltip="Bacteriophage" w:history="1">
        <w:r w:rsidRPr="00CF6D50">
          <w:rPr>
            <w:rStyle w:val="Hyperlink"/>
            <w:rFonts w:ascii="Arial" w:hAnsi="Arial" w:cs="Arial"/>
            <w:color w:val="000000" w:themeColor="text1"/>
            <w:sz w:val="21"/>
            <w:szCs w:val="21"/>
            <w:u w:val="none"/>
          </w:rPr>
          <w:t>bacteriophage</w:t>
        </w:r>
      </w:hyperlink>
      <w:r w:rsidRPr="00CF6D50">
        <w:rPr>
          <w:rFonts w:ascii="Arial" w:hAnsi="Arial" w:cs="Arial"/>
          <w:color w:val="000000" w:themeColor="text1"/>
          <w:sz w:val="21"/>
          <w:szCs w:val="21"/>
        </w:rPr>
        <w:t xml:space="preserve"> infections. Other basic immune mechanisms evolved in ancient </w:t>
      </w:r>
      <w:hyperlink r:id="rId75" w:tooltip="Eukaryote" w:history="1">
        <w:r w:rsidRPr="00CF6D50">
          <w:rPr>
            <w:rStyle w:val="Hyperlink"/>
            <w:rFonts w:ascii="Arial" w:hAnsi="Arial" w:cs="Arial"/>
            <w:color w:val="000000" w:themeColor="text1"/>
            <w:sz w:val="21"/>
            <w:szCs w:val="21"/>
            <w:u w:val="none"/>
          </w:rPr>
          <w:t>eukaryotes</w:t>
        </w:r>
      </w:hyperlink>
      <w:r w:rsidRPr="00CF6D50">
        <w:rPr>
          <w:rFonts w:ascii="Arial" w:hAnsi="Arial" w:cs="Arial"/>
          <w:color w:val="000000" w:themeColor="text1"/>
          <w:sz w:val="21"/>
          <w:szCs w:val="21"/>
        </w:rPr>
        <w:t xml:space="preserve"> and remain in their modern descendants, such as plants and invertebrates. These mechanisms include </w:t>
      </w:r>
      <w:hyperlink r:id="rId76" w:tooltip="Phagocytosis" w:history="1">
        <w:r w:rsidRPr="00CF6D50">
          <w:rPr>
            <w:rStyle w:val="Hyperlink"/>
            <w:rFonts w:ascii="Arial" w:hAnsi="Arial" w:cs="Arial"/>
            <w:color w:val="000000" w:themeColor="text1"/>
            <w:sz w:val="21"/>
            <w:szCs w:val="21"/>
            <w:u w:val="none"/>
          </w:rPr>
          <w:t>phagocytosis</w:t>
        </w:r>
      </w:hyperlink>
      <w:r w:rsidRPr="00CF6D50">
        <w:rPr>
          <w:rFonts w:ascii="Arial" w:hAnsi="Arial" w:cs="Arial"/>
          <w:color w:val="000000" w:themeColor="text1"/>
          <w:sz w:val="21"/>
          <w:szCs w:val="21"/>
        </w:rPr>
        <w:t xml:space="preserve">, </w:t>
      </w:r>
      <w:hyperlink r:id="rId77" w:tooltip="Antimicrobial peptides" w:history="1">
        <w:r w:rsidRPr="00CF6D50">
          <w:rPr>
            <w:rStyle w:val="Hyperlink"/>
            <w:rFonts w:ascii="Arial" w:hAnsi="Arial" w:cs="Arial"/>
            <w:color w:val="000000" w:themeColor="text1"/>
            <w:sz w:val="21"/>
            <w:szCs w:val="21"/>
            <w:u w:val="none"/>
          </w:rPr>
          <w:t>antimicrobial peptides</w:t>
        </w:r>
      </w:hyperlink>
      <w:r w:rsidRPr="00CF6D50">
        <w:rPr>
          <w:rFonts w:ascii="Arial" w:hAnsi="Arial" w:cs="Arial"/>
          <w:color w:val="000000" w:themeColor="text1"/>
          <w:sz w:val="21"/>
          <w:szCs w:val="21"/>
        </w:rPr>
        <w:t xml:space="preserve"> called </w:t>
      </w:r>
      <w:hyperlink r:id="rId78" w:tooltip="Defensin" w:history="1">
        <w:proofErr w:type="spellStart"/>
        <w:r w:rsidRPr="00CF6D50">
          <w:rPr>
            <w:rStyle w:val="Hyperlink"/>
            <w:rFonts w:ascii="Arial" w:hAnsi="Arial" w:cs="Arial"/>
            <w:color w:val="000000" w:themeColor="text1"/>
            <w:sz w:val="21"/>
            <w:szCs w:val="21"/>
            <w:u w:val="none"/>
          </w:rPr>
          <w:t>defensins</w:t>
        </w:r>
        <w:proofErr w:type="spellEnd"/>
      </w:hyperlink>
      <w:r w:rsidRPr="00CF6D50">
        <w:rPr>
          <w:rFonts w:ascii="Arial" w:hAnsi="Arial" w:cs="Arial"/>
          <w:color w:val="000000" w:themeColor="text1"/>
          <w:sz w:val="21"/>
          <w:szCs w:val="21"/>
        </w:rPr>
        <w:t xml:space="preserve">, and the </w:t>
      </w:r>
      <w:hyperlink r:id="rId79" w:tooltip="Complement system" w:history="1">
        <w:r w:rsidRPr="00CF6D50">
          <w:rPr>
            <w:rStyle w:val="Hyperlink"/>
            <w:rFonts w:ascii="Arial" w:hAnsi="Arial" w:cs="Arial"/>
            <w:color w:val="000000" w:themeColor="text1"/>
            <w:sz w:val="21"/>
            <w:szCs w:val="21"/>
            <w:u w:val="none"/>
          </w:rPr>
          <w:t>complement system</w:t>
        </w:r>
      </w:hyperlink>
      <w:r w:rsidRPr="00CF6D50">
        <w:rPr>
          <w:rFonts w:ascii="Arial" w:hAnsi="Arial" w:cs="Arial"/>
          <w:color w:val="000000" w:themeColor="text1"/>
          <w:sz w:val="21"/>
          <w:szCs w:val="21"/>
        </w:rPr>
        <w:t xml:space="preserve">. </w:t>
      </w:r>
      <w:hyperlink r:id="rId80" w:tooltip="Jawed vertebrate" w:history="1">
        <w:r w:rsidRPr="00CF6D50">
          <w:rPr>
            <w:rStyle w:val="Hyperlink"/>
            <w:rFonts w:ascii="Arial" w:hAnsi="Arial" w:cs="Arial"/>
            <w:color w:val="000000" w:themeColor="text1"/>
            <w:sz w:val="21"/>
            <w:szCs w:val="21"/>
            <w:u w:val="none"/>
          </w:rPr>
          <w:t>Jawed vertebrates</w:t>
        </w:r>
      </w:hyperlink>
      <w:r w:rsidRPr="00CF6D50">
        <w:rPr>
          <w:rFonts w:ascii="Arial" w:hAnsi="Arial" w:cs="Arial"/>
          <w:color w:val="000000" w:themeColor="text1"/>
          <w:sz w:val="21"/>
          <w:szCs w:val="21"/>
        </w:rPr>
        <w:t>, including humans, have even more sophisticated defense mechanisms</w:t>
      </w:r>
      <w:proofErr w:type="gramStart"/>
      <w:r w:rsidRPr="00CF6D50">
        <w:rPr>
          <w:rFonts w:ascii="Arial" w:hAnsi="Arial" w:cs="Arial"/>
          <w:color w:val="000000" w:themeColor="text1"/>
          <w:sz w:val="21"/>
          <w:szCs w:val="21"/>
        </w:rPr>
        <w:t>,</w:t>
      </w:r>
      <w:proofErr w:type="gramEnd"/>
      <w:r w:rsidRPr="00CF6D50">
        <w:rPr>
          <w:rFonts w:ascii="Arial" w:hAnsi="Arial" w:cs="Arial"/>
          <w:color w:val="000000" w:themeColor="text1"/>
          <w:sz w:val="17"/>
          <w:szCs w:val="17"/>
          <w:vertAlign w:val="superscript"/>
        </w:rPr>
        <w:fldChar w:fldCharType="begin"/>
      </w:r>
      <w:r w:rsidRPr="00CF6D50">
        <w:rPr>
          <w:rFonts w:ascii="Arial" w:hAnsi="Arial" w:cs="Arial"/>
          <w:color w:val="000000" w:themeColor="text1"/>
          <w:sz w:val="17"/>
          <w:szCs w:val="17"/>
          <w:vertAlign w:val="superscript"/>
        </w:rPr>
        <w:instrText xml:space="preserve"> HYPERLINK "https://en.wikipedia.org/wiki/Immune_system" \l "cite_note-Beck-1" </w:instrText>
      </w:r>
      <w:r w:rsidRPr="00CF6D50">
        <w:rPr>
          <w:rFonts w:ascii="Arial" w:hAnsi="Arial" w:cs="Arial"/>
          <w:color w:val="000000" w:themeColor="text1"/>
          <w:sz w:val="17"/>
          <w:szCs w:val="17"/>
          <w:vertAlign w:val="superscript"/>
        </w:rPr>
        <w:fldChar w:fldCharType="separate"/>
      </w:r>
      <w:r w:rsidRPr="00CF6D50">
        <w:rPr>
          <w:rStyle w:val="Hyperlink"/>
          <w:rFonts w:ascii="Arial" w:hAnsi="Arial" w:cs="Arial"/>
          <w:color w:val="000000" w:themeColor="text1"/>
          <w:sz w:val="17"/>
          <w:szCs w:val="17"/>
          <w:u w:val="none"/>
          <w:vertAlign w:val="superscript"/>
        </w:rPr>
        <w:t>[1]</w:t>
      </w:r>
      <w:r w:rsidRPr="00CF6D50">
        <w:rPr>
          <w:rFonts w:ascii="Arial" w:hAnsi="Arial" w:cs="Arial"/>
          <w:color w:val="000000" w:themeColor="text1"/>
          <w:sz w:val="17"/>
          <w:szCs w:val="17"/>
          <w:vertAlign w:val="superscript"/>
        </w:rPr>
        <w:fldChar w:fldCharType="end"/>
      </w:r>
      <w:r w:rsidRPr="00CF6D50">
        <w:rPr>
          <w:rFonts w:ascii="Arial" w:hAnsi="Arial" w:cs="Arial"/>
          <w:color w:val="000000" w:themeColor="text1"/>
          <w:sz w:val="21"/>
          <w:szCs w:val="21"/>
        </w:rPr>
        <w:t xml:space="preserve"> including the ability to adapt over time to recognize specific pathogens more efficiently. Adaptive (or acquired) immunity creates </w:t>
      </w:r>
      <w:hyperlink r:id="rId81" w:tooltip="Immunological memory" w:history="1">
        <w:r w:rsidRPr="00CF6D50">
          <w:rPr>
            <w:rStyle w:val="Hyperlink"/>
            <w:rFonts w:ascii="Arial" w:hAnsi="Arial" w:cs="Arial"/>
            <w:color w:val="000000" w:themeColor="text1"/>
            <w:sz w:val="21"/>
            <w:szCs w:val="21"/>
            <w:u w:val="none"/>
          </w:rPr>
          <w:t>immunological memory</w:t>
        </w:r>
      </w:hyperlink>
      <w:r w:rsidRPr="00CF6D50">
        <w:rPr>
          <w:rFonts w:ascii="Arial" w:hAnsi="Arial" w:cs="Arial"/>
          <w:color w:val="000000" w:themeColor="text1"/>
          <w:sz w:val="21"/>
          <w:szCs w:val="21"/>
        </w:rPr>
        <w:t xml:space="preserve"> after an initial response to a specific pathogen, leading to an enhanced response to subsequent encounters with that same pathogen. This process of acquired immunity is the basis of </w:t>
      </w:r>
      <w:hyperlink r:id="rId82" w:tooltip="Vaccination" w:history="1">
        <w:r w:rsidRPr="00CF6D50">
          <w:rPr>
            <w:rStyle w:val="Hyperlink"/>
            <w:rFonts w:ascii="Arial" w:hAnsi="Arial" w:cs="Arial"/>
            <w:color w:val="000000" w:themeColor="text1"/>
            <w:sz w:val="21"/>
            <w:szCs w:val="21"/>
            <w:u w:val="none"/>
          </w:rPr>
          <w:t>vaccination</w:t>
        </w:r>
      </w:hyperlink>
      <w:r w:rsidRPr="00CF6D50">
        <w:rPr>
          <w:rFonts w:ascii="Arial" w:hAnsi="Arial" w:cs="Arial"/>
          <w:color w:val="000000" w:themeColor="text1"/>
          <w:sz w:val="21"/>
          <w:szCs w:val="21"/>
        </w:rPr>
        <w:t xml:space="preserve">. </w:t>
      </w:r>
    </w:p>
    <w:p w:rsidR="00157810" w:rsidRPr="00CF6D50" w:rsidRDefault="00157810" w:rsidP="00CF6D50">
      <w:pPr>
        <w:pStyle w:val="NormalWeb"/>
        <w:spacing w:before="0" w:beforeAutospacing="0" w:after="120" w:afterAutospacing="0" w:line="240" w:lineRule="atLeast"/>
        <w:rPr>
          <w:rFonts w:ascii="Arial" w:hAnsi="Arial" w:cs="Arial"/>
          <w:color w:val="000000" w:themeColor="text1"/>
          <w:sz w:val="21"/>
          <w:szCs w:val="21"/>
        </w:rPr>
      </w:pPr>
      <w:r w:rsidRPr="00CF6D50">
        <w:rPr>
          <w:rFonts w:ascii="Arial" w:hAnsi="Arial" w:cs="Arial"/>
          <w:color w:val="000000" w:themeColor="text1"/>
          <w:sz w:val="21"/>
          <w:szCs w:val="21"/>
        </w:rPr>
        <w:t xml:space="preserve">Disorders of the immune system can result in </w:t>
      </w:r>
      <w:hyperlink r:id="rId83" w:tooltip="Autoimmune disease" w:history="1">
        <w:r w:rsidRPr="00CF6D50">
          <w:rPr>
            <w:rStyle w:val="Hyperlink"/>
            <w:rFonts w:ascii="Arial" w:hAnsi="Arial" w:cs="Arial"/>
            <w:color w:val="000000" w:themeColor="text1"/>
            <w:sz w:val="21"/>
            <w:szCs w:val="21"/>
            <w:u w:val="none"/>
          </w:rPr>
          <w:t>autoimmune diseases</w:t>
        </w:r>
      </w:hyperlink>
      <w:r w:rsidRPr="00CF6D50">
        <w:rPr>
          <w:rFonts w:ascii="Arial" w:hAnsi="Arial" w:cs="Arial"/>
          <w:color w:val="000000" w:themeColor="text1"/>
          <w:sz w:val="21"/>
          <w:szCs w:val="21"/>
        </w:rPr>
        <w:t xml:space="preserve">, </w:t>
      </w:r>
      <w:hyperlink r:id="rId84" w:tooltip="Inflammation" w:history="1">
        <w:r w:rsidRPr="00CF6D50">
          <w:rPr>
            <w:rStyle w:val="Hyperlink"/>
            <w:rFonts w:ascii="Arial" w:hAnsi="Arial" w:cs="Arial"/>
            <w:color w:val="000000" w:themeColor="text1"/>
            <w:sz w:val="21"/>
            <w:szCs w:val="21"/>
            <w:u w:val="none"/>
          </w:rPr>
          <w:t>inflammatory diseases</w:t>
        </w:r>
      </w:hyperlink>
      <w:r w:rsidRPr="00CF6D50">
        <w:rPr>
          <w:rFonts w:ascii="Arial" w:hAnsi="Arial" w:cs="Arial"/>
          <w:color w:val="000000" w:themeColor="text1"/>
          <w:sz w:val="21"/>
          <w:szCs w:val="21"/>
        </w:rPr>
        <w:t xml:space="preserve"> and </w:t>
      </w:r>
      <w:hyperlink r:id="rId85" w:tooltip="Carcinogenesis" w:history="1">
        <w:r w:rsidRPr="00CF6D50">
          <w:rPr>
            <w:rStyle w:val="Hyperlink"/>
            <w:rFonts w:ascii="Arial" w:hAnsi="Arial" w:cs="Arial"/>
            <w:color w:val="000000" w:themeColor="text1"/>
            <w:sz w:val="21"/>
            <w:szCs w:val="21"/>
            <w:u w:val="none"/>
          </w:rPr>
          <w:t>cancer</w:t>
        </w:r>
      </w:hyperlink>
      <w:r w:rsidRPr="00CF6D50">
        <w:rPr>
          <w:rFonts w:ascii="Arial" w:hAnsi="Arial" w:cs="Arial"/>
          <w:color w:val="000000" w:themeColor="text1"/>
          <w:sz w:val="21"/>
          <w:szCs w:val="21"/>
        </w:rPr>
        <w:t>.</w:t>
      </w:r>
      <w:hyperlink r:id="rId86" w:anchor="cite_note-pmid11506482-2" w:history="1">
        <w:r w:rsidRPr="00CF6D50">
          <w:rPr>
            <w:rStyle w:val="Hyperlink"/>
            <w:rFonts w:ascii="Arial" w:hAnsi="Arial" w:cs="Arial"/>
            <w:color w:val="000000" w:themeColor="text1"/>
            <w:sz w:val="17"/>
            <w:szCs w:val="17"/>
            <w:u w:val="none"/>
            <w:vertAlign w:val="superscript"/>
          </w:rPr>
          <w:t>[2]</w:t>
        </w:r>
      </w:hyperlink>
      <w:r w:rsidRPr="00CF6D50">
        <w:rPr>
          <w:rFonts w:ascii="Arial" w:hAnsi="Arial" w:cs="Arial"/>
          <w:color w:val="000000" w:themeColor="text1"/>
          <w:sz w:val="21"/>
          <w:szCs w:val="21"/>
        </w:rPr>
        <w:t xml:space="preserve"> </w:t>
      </w:r>
      <w:hyperlink r:id="rId87" w:tooltip="Immunodeficiency" w:history="1">
        <w:r w:rsidRPr="00CF6D50">
          <w:rPr>
            <w:rStyle w:val="Hyperlink"/>
            <w:rFonts w:ascii="Arial" w:hAnsi="Arial" w:cs="Arial"/>
            <w:color w:val="000000" w:themeColor="text1"/>
            <w:sz w:val="21"/>
            <w:szCs w:val="21"/>
            <w:u w:val="none"/>
          </w:rPr>
          <w:t>Immunodeficiency</w:t>
        </w:r>
      </w:hyperlink>
      <w:r w:rsidRPr="00CF6D50">
        <w:rPr>
          <w:rFonts w:ascii="Arial" w:hAnsi="Arial" w:cs="Arial"/>
          <w:color w:val="000000" w:themeColor="text1"/>
          <w:sz w:val="21"/>
          <w:szCs w:val="21"/>
        </w:rPr>
        <w:t xml:space="preserve"> occurs when the immune system is less active than normal, resulting in recurring and life-threatening infections. In humans, immunodeficiency can either be the result of a </w:t>
      </w:r>
      <w:hyperlink r:id="rId88" w:tooltip="Genetic disease" w:history="1">
        <w:r w:rsidRPr="00CF6D50">
          <w:rPr>
            <w:rStyle w:val="Hyperlink"/>
            <w:rFonts w:ascii="Arial" w:hAnsi="Arial" w:cs="Arial"/>
            <w:color w:val="000000" w:themeColor="text1"/>
            <w:sz w:val="21"/>
            <w:szCs w:val="21"/>
            <w:u w:val="none"/>
          </w:rPr>
          <w:t>genetic disease</w:t>
        </w:r>
      </w:hyperlink>
      <w:r w:rsidRPr="00CF6D50">
        <w:rPr>
          <w:rFonts w:ascii="Arial" w:hAnsi="Arial" w:cs="Arial"/>
          <w:color w:val="000000" w:themeColor="text1"/>
          <w:sz w:val="21"/>
          <w:szCs w:val="21"/>
        </w:rPr>
        <w:t xml:space="preserve"> such as </w:t>
      </w:r>
      <w:hyperlink r:id="rId89" w:tooltip="Severe combined immunodeficiency" w:history="1">
        <w:r w:rsidRPr="00CF6D50">
          <w:rPr>
            <w:rStyle w:val="Hyperlink"/>
            <w:rFonts w:ascii="Arial" w:hAnsi="Arial" w:cs="Arial"/>
            <w:color w:val="000000" w:themeColor="text1"/>
            <w:sz w:val="21"/>
            <w:szCs w:val="21"/>
            <w:u w:val="none"/>
          </w:rPr>
          <w:t>severe combined immunodeficiency</w:t>
        </w:r>
      </w:hyperlink>
      <w:r w:rsidRPr="00CF6D50">
        <w:rPr>
          <w:rFonts w:ascii="Arial" w:hAnsi="Arial" w:cs="Arial"/>
          <w:color w:val="000000" w:themeColor="text1"/>
          <w:sz w:val="21"/>
          <w:szCs w:val="21"/>
        </w:rPr>
        <w:t xml:space="preserve">, acquired conditions such as </w:t>
      </w:r>
      <w:hyperlink r:id="rId90" w:tooltip="HIV" w:history="1">
        <w:r w:rsidRPr="00CF6D50">
          <w:rPr>
            <w:rStyle w:val="Hyperlink"/>
            <w:rFonts w:ascii="Arial" w:hAnsi="Arial" w:cs="Arial"/>
            <w:color w:val="000000" w:themeColor="text1"/>
            <w:sz w:val="21"/>
            <w:szCs w:val="21"/>
            <w:u w:val="none"/>
          </w:rPr>
          <w:t>HIV</w:t>
        </w:r>
      </w:hyperlink>
      <w:r w:rsidRPr="00CF6D50">
        <w:rPr>
          <w:rFonts w:ascii="Arial" w:hAnsi="Arial" w:cs="Arial"/>
          <w:color w:val="000000" w:themeColor="text1"/>
          <w:sz w:val="21"/>
          <w:szCs w:val="21"/>
        </w:rPr>
        <w:t>/</w:t>
      </w:r>
      <w:hyperlink r:id="rId91" w:tooltip="AIDS" w:history="1">
        <w:r w:rsidRPr="00CF6D50">
          <w:rPr>
            <w:rStyle w:val="Hyperlink"/>
            <w:rFonts w:ascii="Arial" w:hAnsi="Arial" w:cs="Arial"/>
            <w:color w:val="000000" w:themeColor="text1"/>
            <w:sz w:val="21"/>
            <w:szCs w:val="21"/>
            <w:u w:val="none"/>
          </w:rPr>
          <w:t>AIDS</w:t>
        </w:r>
      </w:hyperlink>
      <w:r w:rsidRPr="00CF6D50">
        <w:rPr>
          <w:rFonts w:ascii="Arial" w:hAnsi="Arial" w:cs="Arial"/>
          <w:color w:val="000000" w:themeColor="text1"/>
          <w:sz w:val="21"/>
          <w:szCs w:val="21"/>
        </w:rPr>
        <w:t xml:space="preserve">, or the use of immunosuppressive medication. In contrast, </w:t>
      </w:r>
      <w:hyperlink r:id="rId92" w:tooltip="Autoimmunity" w:history="1">
        <w:r w:rsidRPr="00CF6D50">
          <w:rPr>
            <w:rStyle w:val="Hyperlink"/>
            <w:rFonts w:ascii="Arial" w:hAnsi="Arial" w:cs="Arial"/>
            <w:color w:val="000000" w:themeColor="text1"/>
            <w:sz w:val="21"/>
            <w:szCs w:val="21"/>
            <w:u w:val="none"/>
          </w:rPr>
          <w:t>autoimmunity</w:t>
        </w:r>
      </w:hyperlink>
      <w:r w:rsidRPr="00CF6D50">
        <w:rPr>
          <w:rFonts w:ascii="Arial" w:hAnsi="Arial" w:cs="Arial"/>
          <w:color w:val="000000" w:themeColor="text1"/>
          <w:sz w:val="21"/>
          <w:szCs w:val="21"/>
        </w:rPr>
        <w:t xml:space="preserve"> results from a hyperactive immune system attacking normal tissues as if they were foreign organisms. Common autoimmune diseases include </w:t>
      </w:r>
      <w:hyperlink r:id="rId93" w:tooltip="Hashimoto's thyroiditis" w:history="1">
        <w:r w:rsidRPr="00CF6D50">
          <w:rPr>
            <w:rStyle w:val="Hyperlink"/>
            <w:rFonts w:ascii="Arial" w:hAnsi="Arial" w:cs="Arial"/>
            <w:color w:val="000000" w:themeColor="text1"/>
            <w:sz w:val="21"/>
            <w:szCs w:val="21"/>
            <w:u w:val="none"/>
          </w:rPr>
          <w:t>Hashimoto's thyroiditis</w:t>
        </w:r>
      </w:hyperlink>
      <w:r w:rsidRPr="00CF6D50">
        <w:rPr>
          <w:rFonts w:ascii="Arial" w:hAnsi="Arial" w:cs="Arial"/>
          <w:color w:val="000000" w:themeColor="text1"/>
          <w:sz w:val="21"/>
          <w:szCs w:val="21"/>
        </w:rPr>
        <w:t xml:space="preserve">, </w:t>
      </w:r>
      <w:hyperlink r:id="rId94" w:tooltip="Rheumatoid arthritis" w:history="1">
        <w:r w:rsidRPr="00CF6D50">
          <w:rPr>
            <w:rStyle w:val="Hyperlink"/>
            <w:rFonts w:ascii="Arial" w:hAnsi="Arial" w:cs="Arial"/>
            <w:color w:val="000000" w:themeColor="text1"/>
            <w:sz w:val="21"/>
            <w:szCs w:val="21"/>
            <w:u w:val="none"/>
          </w:rPr>
          <w:t>rheumatoid arthritis</w:t>
        </w:r>
      </w:hyperlink>
      <w:r w:rsidRPr="00CF6D50">
        <w:rPr>
          <w:rFonts w:ascii="Arial" w:hAnsi="Arial" w:cs="Arial"/>
          <w:color w:val="000000" w:themeColor="text1"/>
          <w:sz w:val="21"/>
          <w:szCs w:val="21"/>
        </w:rPr>
        <w:t xml:space="preserve">, </w:t>
      </w:r>
      <w:hyperlink r:id="rId95" w:tooltip="Diabetes mellitus type 1" w:history="1">
        <w:r w:rsidRPr="00CF6D50">
          <w:rPr>
            <w:rStyle w:val="Hyperlink"/>
            <w:rFonts w:ascii="Arial" w:hAnsi="Arial" w:cs="Arial"/>
            <w:color w:val="000000" w:themeColor="text1"/>
            <w:sz w:val="21"/>
            <w:szCs w:val="21"/>
            <w:u w:val="none"/>
          </w:rPr>
          <w:t>diabetes mellitus type 1</w:t>
        </w:r>
      </w:hyperlink>
      <w:r w:rsidRPr="00CF6D50">
        <w:rPr>
          <w:rFonts w:ascii="Arial" w:hAnsi="Arial" w:cs="Arial"/>
          <w:color w:val="000000" w:themeColor="text1"/>
          <w:sz w:val="21"/>
          <w:szCs w:val="21"/>
        </w:rPr>
        <w:t xml:space="preserve">, and </w:t>
      </w:r>
      <w:hyperlink r:id="rId96" w:tooltip="Systemic lupus erythematosus" w:history="1">
        <w:r w:rsidRPr="00CF6D50">
          <w:rPr>
            <w:rStyle w:val="Hyperlink"/>
            <w:rFonts w:ascii="Arial" w:hAnsi="Arial" w:cs="Arial"/>
            <w:color w:val="000000" w:themeColor="text1"/>
            <w:sz w:val="21"/>
            <w:szCs w:val="21"/>
            <w:u w:val="none"/>
          </w:rPr>
          <w:t>systemic lupus erythematosus</w:t>
        </w:r>
      </w:hyperlink>
      <w:r w:rsidRPr="00CF6D50">
        <w:rPr>
          <w:rFonts w:ascii="Arial" w:hAnsi="Arial" w:cs="Arial"/>
          <w:color w:val="000000" w:themeColor="text1"/>
          <w:sz w:val="21"/>
          <w:szCs w:val="21"/>
        </w:rPr>
        <w:t xml:space="preserve">. </w:t>
      </w:r>
      <w:hyperlink r:id="rId97" w:tooltip="Immunology" w:history="1">
        <w:r w:rsidRPr="00CF6D50">
          <w:rPr>
            <w:rStyle w:val="Hyperlink"/>
            <w:rFonts w:ascii="Arial" w:hAnsi="Arial" w:cs="Arial"/>
            <w:color w:val="000000" w:themeColor="text1"/>
            <w:sz w:val="21"/>
            <w:szCs w:val="21"/>
            <w:u w:val="none"/>
          </w:rPr>
          <w:t>Immunology</w:t>
        </w:r>
      </w:hyperlink>
      <w:r w:rsidRPr="00CF6D50">
        <w:rPr>
          <w:rFonts w:ascii="Arial" w:hAnsi="Arial" w:cs="Arial"/>
          <w:color w:val="000000" w:themeColor="text1"/>
          <w:sz w:val="21"/>
          <w:szCs w:val="21"/>
        </w:rPr>
        <w:t xml:space="preserve"> covers the study of all aspects of the immune system. </w:t>
      </w:r>
    </w:p>
    <w:p w:rsidR="00157810" w:rsidRPr="00CF6D50" w:rsidRDefault="00157810" w:rsidP="00CF6D50">
      <w:pPr>
        <w:spacing w:after="100" w:afterAutospacing="1" w:line="240" w:lineRule="atLeast"/>
        <w:outlineLvl w:val="1"/>
        <w:rPr>
          <w:b/>
          <w:bCs/>
          <w:color w:val="000000" w:themeColor="text1"/>
          <w:sz w:val="36"/>
          <w:szCs w:val="36"/>
          <w:lang w:val="en"/>
        </w:rPr>
      </w:pPr>
      <w:r w:rsidRPr="00CF6D50">
        <w:rPr>
          <w:b/>
          <w:bCs/>
          <w:color w:val="000000" w:themeColor="text1"/>
          <w:sz w:val="36"/>
          <w:szCs w:val="36"/>
          <w:lang w:val="en"/>
        </w:rPr>
        <w:t>Innate immune system</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Microorganisms or toxins that successfully enter an organism encounter the cells and mechanisms of the innate immune system. The innate response is usually triggered when microbes are identified by </w:t>
      </w:r>
      <w:hyperlink r:id="rId98" w:tooltip="Pattern recognition receptors" w:history="1">
        <w:r w:rsidRPr="00CF6D50">
          <w:rPr>
            <w:color w:val="000000" w:themeColor="text1"/>
            <w:lang w:val="en"/>
          </w:rPr>
          <w:t>pattern recognition receptors</w:t>
        </w:r>
      </w:hyperlink>
      <w:r w:rsidRPr="00CF6D50">
        <w:rPr>
          <w:color w:val="000000" w:themeColor="text1"/>
          <w:lang w:val="en"/>
        </w:rPr>
        <w:t>, which recognize components that are conserved among broad groups of microorganisms,</w:t>
      </w:r>
      <w:hyperlink r:id="rId99" w:anchor="cite_note-pmid17943118-11" w:history="1">
        <w:r w:rsidRPr="00CF6D50">
          <w:rPr>
            <w:color w:val="000000" w:themeColor="text1"/>
            <w:sz w:val="19"/>
            <w:szCs w:val="19"/>
            <w:vertAlign w:val="superscript"/>
            <w:lang w:val="en"/>
          </w:rPr>
          <w:t>[11]</w:t>
        </w:r>
      </w:hyperlink>
      <w:r w:rsidRPr="00CF6D50">
        <w:rPr>
          <w:color w:val="000000" w:themeColor="text1"/>
          <w:lang w:val="en"/>
        </w:rPr>
        <w:t xml:space="preserve"> or when damaged, injured or stressed cells send out alarm signals, many of which (but not all) are recognized by the same receptors as those that recognize pathogens.</w:t>
      </w:r>
      <w:hyperlink r:id="rId100" w:anchor="cite_note-pmid11951032-12" w:history="1">
        <w:r w:rsidRPr="00CF6D50">
          <w:rPr>
            <w:color w:val="000000" w:themeColor="text1"/>
            <w:sz w:val="19"/>
            <w:szCs w:val="19"/>
            <w:vertAlign w:val="superscript"/>
            <w:lang w:val="en"/>
          </w:rPr>
          <w:t>[12]</w:t>
        </w:r>
      </w:hyperlink>
      <w:r w:rsidRPr="00CF6D50">
        <w:rPr>
          <w:color w:val="000000" w:themeColor="text1"/>
          <w:lang w:val="en"/>
        </w:rPr>
        <w:t xml:space="preserve"> Innate immune defenses are non-specific, meaning these systems respond to pathogens in a generic way.</w:t>
      </w:r>
      <w:hyperlink r:id="rId101" w:anchor="cite_note-Alberts-7" w:history="1">
        <w:r w:rsidRPr="00CF6D50">
          <w:rPr>
            <w:color w:val="000000" w:themeColor="text1"/>
            <w:sz w:val="19"/>
            <w:szCs w:val="19"/>
            <w:vertAlign w:val="superscript"/>
            <w:lang w:val="en"/>
          </w:rPr>
          <w:t>[7]</w:t>
        </w:r>
      </w:hyperlink>
      <w:r w:rsidRPr="00CF6D50">
        <w:rPr>
          <w:color w:val="000000" w:themeColor="text1"/>
          <w:lang w:val="en"/>
        </w:rPr>
        <w:t xml:space="preserve"> This system does not confer long-lasting </w:t>
      </w:r>
      <w:hyperlink r:id="rId102" w:tooltip="Immunity (medical)" w:history="1">
        <w:r w:rsidRPr="00CF6D50">
          <w:rPr>
            <w:color w:val="000000" w:themeColor="text1"/>
            <w:lang w:val="en"/>
          </w:rPr>
          <w:t>immunity</w:t>
        </w:r>
      </w:hyperlink>
      <w:r w:rsidRPr="00CF6D50">
        <w:rPr>
          <w:color w:val="000000" w:themeColor="text1"/>
          <w:lang w:val="en"/>
        </w:rPr>
        <w:t xml:space="preserve"> </w:t>
      </w:r>
      <w:r w:rsidRPr="00CF6D50">
        <w:rPr>
          <w:color w:val="000000" w:themeColor="text1"/>
          <w:lang w:val="en"/>
        </w:rPr>
        <w:lastRenderedPageBreak/>
        <w:t>against a pathogen. The innate immune system is the dominant system of host defense in most organisms.</w:t>
      </w:r>
      <w:hyperlink r:id="rId103" w:anchor="cite_note-Litman-3" w:history="1">
        <w:r w:rsidRPr="00CF6D50">
          <w:rPr>
            <w:color w:val="000000" w:themeColor="text1"/>
            <w:sz w:val="19"/>
            <w:szCs w:val="19"/>
            <w:vertAlign w:val="superscript"/>
            <w:lang w:val="en"/>
          </w:rPr>
          <w:t>[3]</w:t>
        </w:r>
      </w:hyperlink>
      <w:r w:rsidRPr="00CF6D50">
        <w:rPr>
          <w:color w:val="000000" w:themeColor="text1"/>
          <w:lang w:val="en"/>
        </w:rPr>
        <w:t xml:space="preserve"> </w:t>
      </w:r>
    </w:p>
    <w:p w:rsidR="00157810" w:rsidRPr="00CF6D50" w:rsidRDefault="00157810" w:rsidP="00CF6D50">
      <w:pPr>
        <w:spacing w:after="100" w:afterAutospacing="1" w:line="240" w:lineRule="atLeast"/>
        <w:outlineLvl w:val="2"/>
        <w:rPr>
          <w:b/>
          <w:bCs/>
          <w:color w:val="000000" w:themeColor="text1"/>
          <w:sz w:val="27"/>
          <w:szCs w:val="27"/>
          <w:lang w:val="en"/>
        </w:rPr>
      </w:pPr>
      <w:r w:rsidRPr="00CF6D50">
        <w:rPr>
          <w:b/>
          <w:bCs/>
          <w:color w:val="000000" w:themeColor="text1"/>
          <w:sz w:val="27"/>
          <w:szCs w:val="27"/>
          <w:lang w:val="en"/>
        </w:rPr>
        <w:t>Pattern recognition by cells</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Cells in the innate immune system use </w:t>
      </w:r>
      <w:hyperlink r:id="rId104" w:tooltip="Pattern recognition receptor" w:history="1">
        <w:r w:rsidRPr="00CF6D50">
          <w:rPr>
            <w:color w:val="000000" w:themeColor="text1"/>
            <w:lang w:val="en"/>
          </w:rPr>
          <w:t>pattern recognition receptors</w:t>
        </w:r>
      </w:hyperlink>
      <w:r w:rsidRPr="00CF6D50">
        <w:rPr>
          <w:color w:val="000000" w:themeColor="text1"/>
          <w:lang w:val="en"/>
        </w:rPr>
        <w:t xml:space="preserve"> (PRRs) to recognize molecular structures that are produced by microbial pathogens. PRRs are germline-encoded host sensors, which detect molecules typical for the pathogens.</w:t>
      </w:r>
      <w:hyperlink r:id="rId105" w:anchor="cite_note-Kumar_2011-13" w:history="1">
        <w:r w:rsidRPr="00CF6D50">
          <w:rPr>
            <w:color w:val="000000" w:themeColor="text1"/>
            <w:sz w:val="19"/>
            <w:szCs w:val="19"/>
            <w:vertAlign w:val="superscript"/>
            <w:lang w:val="en"/>
          </w:rPr>
          <w:t>[13]</w:t>
        </w:r>
      </w:hyperlink>
      <w:r w:rsidRPr="00CF6D50">
        <w:rPr>
          <w:color w:val="000000" w:themeColor="text1"/>
          <w:lang w:val="en"/>
        </w:rPr>
        <w:t xml:space="preserve"> They are </w:t>
      </w:r>
      <w:hyperlink r:id="rId106" w:tooltip="Protein" w:history="1">
        <w:r w:rsidRPr="00CF6D50">
          <w:rPr>
            <w:color w:val="000000" w:themeColor="text1"/>
            <w:lang w:val="en"/>
          </w:rPr>
          <w:t>proteins</w:t>
        </w:r>
      </w:hyperlink>
      <w:r w:rsidRPr="00CF6D50">
        <w:rPr>
          <w:color w:val="000000" w:themeColor="text1"/>
          <w:lang w:val="en"/>
        </w:rPr>
        <w:t xml:space="preserve"> expressed, mainly, by cells of the </w:t>
      </w:r>
      <w:hyperlink r:id="rId107" w:tooltip="Innate immune system" w:history="1">
        <w:r w:rsidRPr="00CF6D50">
          <w:rPr>
            <w:color w:val="000000" w:themeColor="text1"/>
            <w:lang w:val="en"/>
          </w:rPr>
          <w:t>innate immune system</w:t>
        </w:r>
      </w:hyperlink>
      <w:r w:rsidRPr="00CF6D50">
        <w:rPr>
          <w:color w:val="000000" w:themeColor="text1"/>
          <w:lang w:val="en"/>
        </w:rPr>
        <w:t>, such as dendritic cells, macrophages, monocytes, neutrophils and epithelial cells,</w:t>
      </w:r>
      <w:hyperlink r:id="rId108" w:anchor="cite_note-14" w:history="1">
        <w:r w:rsidRPr="00CF6D50">
          <w:rPr>
            <w:color w:val="000000" w:themeColor="text1"/>
            <w:sz w:val="19"/>
            <w:szCs w:val="19"/>
            <w:vertAlign w:val="superscript"/>
            <w:lang w:val="en"/>
          </w:rPr>
          <w:t>[14]</w:t>
        </w:r>
      </w:hyperlink>
      <w:hyperlink r:id="rId109" w:anchor="cite_note-15" w:history="1">
        <w:r w:rsidRPr="00CF6D50">
          <w:rPr>
            <w:color w:val="000000" w:themeColor="text1"/>
            <w:sz w:val="19"/>
            <w:szCs w:val="19"/>
            <w:vertAlign w:val="superscript"/>
            <w:lang w:val="en"/>
          </w:rPr>
          <w:t>[15]</w:t>
        </w:r>
      </w:hyperlink>
      <w:r w:rsidRPr="00CF6D50">
        <w:rPr>
          <w:color w:val="000000" w:themeColor="text1"/>
          <w:lang w:val="en"/>
        </w:rPr>
        <w:t xml:space="preserve"> to identify two classes of molecules: </w:t>
      </w:r>
      <w:hyperlink r:id="rId110" w:tooltip="Pathogen-associated molecular patterns" w:history="1">
        <w:r w:rsidRPr="00CF6D50">
          <w:rPr>
            <w:color w:val="000000" w:themeColor="text1"/>
            <w:lang w:val="en"/>
          </w:rPr>
          <w:t>pathogen-associated molecular patterns</w:t>
        </w:r>
      </w:hyperlink>
      <w:r w:rsidRPr="00CF6D50">
        <w:rPr>
          <w:color w:val="000000" w:themeColor="text1"/>
          <w:lang w:val="en"/>
        </w:rPr>
        <w:t xml:space="preserve"> (PAMPs), which are associated with microbial </w:t>
      </w:r>
      <w:hyperlink r:id="rId111" w:tooltip="Pathogens" w:history="1">
        <w:r w:rsidRPr="00CF6D50">
          <w:rPr>
            <w:color w:val="000000" w:themeColor="text1"/>
            <w:lang w:val="en"/>
          </w:rPr>
          <w:t>pathogens</w:t>
        </w:r>
      </w:hyperlink>
      <w:r w:rsidRPr="00CF6D50">
        <w:rPr>
          <w:color w:val="000000" w:themeColor="text1"/>
          <w:lang w:val="en"/>
        </w:rPr>
        <w:t xml:space="preserve">, and </w:t>
      </w:r>
      <w:hyperlink r:id="rId112" w:tooltip="Damage-associated molecular patterns" w:history="1">
        <w:r w:rsidRPr="00CF6D50">
          <w:rPr>
            <w:color w:val="000000" w:themeColor="text1"/>
            <w:lang w:val="en"/>
          </w:rPr>
          <w:t>damage-associated molecular patterns</w:t>
        </w:r>
      </w:hyperlink>
      <w:r w:rsidRPr="00CF6D50">
        <w:rPr>
          <w:color w:val="000000" w:themeColor="text1"/>
          <w:lang w:val="en"/>
        </w:rPr>
        <w:t xml:space="preserve"> (DAMPs), which are associated with components of host's cells that are released during cell damage or death. </w:t>
      </w:r>
    </w:p>
    <w:p w:rsidR="00157810" w:rsidRPr="00CF6D50" w:rsidRDefault="00157810" w:rsidP="00CF6D50">
      <w:pPr>
        <w:spacing w:after="100" w:afterAutospacing="1" w:line="240" w:lineRule="atLeast"/>
        <w:outlineLvl w:val="3"/>
        <w:rPr>
          <w:b/>
          <w:bCs/>
          <w:color w:val="000000" w:themeColor="text1"/>
          <w:lang w:val="en"/>
        </w:rPr>
      </w:pPr>
      <w:r w:rsidRPr="00CF6D50">
        <w:rPr>
          <w:b/>
          <w:bCs/>
          <w:color w:val="000000" w:themeColor="text1"/>
          <w:lang w:val="en"/>
        </w:rPr>
        <w:t>Toll-like receptors</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Recognition of extracellular or endosomal pathogen-associated molecular patterns (PAMPs) is mediated by transmembrane proteins known as </w:t>
      </w:r>
      <w:hyperlink r:id="rId113" w:tooltip="Toll-like receptor" w:history="1">
        <w:r w:rsidRPr="00CF6D50">
          <w:rPr>
            <w:color w:val="000000" w:themeColor="text1"/>
            <w:lang w:val="en"/>
          </w:rPr>
          <w:t>toll-like receptors</w:t>
        </w:r>
      </w:hyperlink>
      <w:r w:rsidRPr="00CF6D50">
        <w:rPr>
          <w:color w:val="000000" w:themeColor="text1"/>
          <w:lang w:val="en"/>
        </w:rPr>
        <w:t xml:space="preserve"> (TLRs).</w:t>
      </w:r>
      <w:hyperlink r:id="rId114" w:anchor="cite_note-pmid16551253-16" w:history="1">
        <w:r w:rsidRPr="00CF6D50">
          <w:rPr>
            <w:color w:val="000000" w:themeColor="text1"/>
            <w:sz w:val="19"/>
            <w:szCs w:val="19"/>
            <w:vertAlign w:val="superscript"/>
            <w:lang w:val="en"/>
          </w:rPr>
          <w:t>[16]</w:t>
        </w:r>
      </w:hyperlink>
      <w:r w:rsidRPr="00CF6D50">
        <w:rPr>
          <w:color w:val="000000" w:themeColor="text1"/>
          <w:lang w:val="en"/>
        </w:rPr>
        <w:t xml:space="preserve"> TLRs share a typical structural motif, the </w:t>
      </w:r>
      <w:hyperlink r:id="rId115" w:tooltip="Leucine-rich repeat" w:history="1">
        <w:r w:rsidRPr="00CF6D50">
          <w:rPr>
            <w:color w:val="000000" w:themeColor="text1"/>
            <w:lang w:val="en"/>
          </w:rPr>
          <w:t>Leucine rich repeats (LRR)</w:t>
        </w:r>
      </w:hyperlink>
      <w:r w:rsidRPr="00CF6D50">
        <w:rPr>
          <w:color w:val="000000" w:themeColor="text1"/>
          <w:lang w:val="en"/>
        </w:rPr>
        <w:t>, which give them their specific appearance and are also responsible for TLR functionality.</w:t>
      </w:r>
      <w:hyperlink r:id="rId116" w:anchor="cite_note-17" w:history="1">
        <w:r w:rsidRPr="00CF6D50">
          <w:rPr>
            <w:color w:val="000000" w:themeColor="text1"/>
            <w:sz w:val="19"/>
            <w:szCs w:val="19"/>
            <w:vertAlign w:val="superscript"/>
            <w:lang w:val="en"/>
          </w:rPr>
          <w:t>[17]</w:t>
        </w:r>
      </w:hyperlink>
      <w:r w:rsidRPr="00CF6D50">
        <w:rPr>
          <w:color w:val="000000" w:themeColor="text1"/>
          <w:lang w:val="en"/>
        </w:rPr>
        <w:t xml:space="preserve"> Toll-like receptors were first discovered in </w:t>
      </w:r>
      <w:hyperlink r:id="rId117" w:tooltip="Drosophila melanogaster" w:history="1">
        <w:r w:rsidRPr="00CF6D50">
          <w:rPr>
            <w:i/>
            <w:iCs/>
            <w:color w:val="000000" w:themeColor="text1"/>
            <w:lang w:val="en"/>
          </w:rPr>
          <w:t>Drosophila</w:t>
        </w:r>
      </w:hyperlink>
      <w:r w:rsidRPr="00CF6D50">
        <w:rPr>
          <w:color w:val="000000" w:themeColor="text1"/>
          <w:lang w:val="en"/>
        </w:rPr>
        <w:t xml:space="preserve"> and trigger the synthesis and secretion of </w:t>
      </w:r>
      <w:hyperlink r:id="rId118" w:tooltip="Cytokine" w:history="1">
        <w:r w:rsidRPr="00CF6D50">
          <w:rPr>
            <w:color w:val="000000" w:themeColor="text1"/>
            <w:lang w:val="en"/>
          </w:rPr>
          <w:t>cytokines</w:t>
        </w:r>
      </w:hyperlink>
      <w:r w:rsidRPr="00CF6D50">
        <w:rPr>
          <w:color w:val="000000" w:themeColor="text1"/>
          <w:lang w:val="en"/>
        </w:rPr>
        <w:t xml:space="preserve"> and activation of other host defense programs that are necessary for </w:t>
      </w:r>
      <w:proofErr w:type="gramStart"/>
      <w:r w:rsidRPr="00CF6D50">
        <w:rPr>
          <w:color w:val="000000" w:themeColor="text1"/>
          <w:lang w:val="en"/>
        </w:rPr>
        <w:t>both innate or</w:t>
      </w:r>
      <w:proofErr w:type="gramEnd"/>
      <w:r w:rsidRPr="00CF6D50">
        <w:rPr>
          <w:color w:val="000000" w:themeColor="text1"/>
          <w:lang w:val="en"/>
        </w:rPr>
        <w:t xml:space="preserve"> adaptive immune responses. To date, ten functional members of the TLR family have been described in humans.</w:t>
      </w:r>
      <w:hyperlink r:id="rId119" w:anchor="cite_note-Takeda_2003-18" w:history="1">
        <w:r w:rsidRPr="00CF6D50">
          <w:rPr>
            <w:color w:val="000000" w:themeColor="text1"/>
            <w:sz w:val="19"/>
            <w:szCs w:val="19"/>
            <w:vertAlign w:val="superscript"/>
            <w:lang w:val="en"/>
          </w:rPr>
          <w:t>[18]</w:t>
        </w:r>
      </w:hyperlink>
      <w:r w:rsidRPr="00CF6D50">
        <w:rPr>
          <w:color w:val="000000" w:themeColor="text1"/>
          <w:lang w:val="en"/>
        </w:rPr>
        <w:t xml:space="preserve"> </w:t>
      </w:r>
    </w:p>
    <w:p w:rsidR="00157810" w:rsidRPr="00CF6D50" w:rsidRDefault="00157810" w:rsidP="00CF6D50">
      <w:pPr>
        <w:spacing w:after="100" w:afterAutospacing="1" w:line="240" w:lineRule="atLeast"/>
        <w:outlineLvl w:val="3"/>
        <w:rPr>
          <w:b/>
          <w:bCs/>
          <w:color w:val="000000" w:themeColor="text1"/>
          <w:lang w:val="en"/>
        </w:rPr>
      </w:pPr>
      <w:r w:rsidRPr="00CF6D50">
        <w:rPr>
          <w:b/>
          <w:bCs/>
          <w:color w:val="000000" w:themeColor="text1"/>
          <w:lang w:val="en"/>
        </w:rPr>
        <w:t>Cytosolic receptors</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Cells in the innate immune system have pattern recognition receptors that detect infection or cell damage in the cytosol. Three major classes of these cytosolic receptors are </w:t>
      </w:r>
      <w:hyperlink r:id="rId120" w:tooltip="NOD-like receptor" w:history="1">
        <w:r w:rsidRPr="00CF6D50">
          <w:rPr>
            <w:color w:val="000000" w:themeColor="text1"/>
            <w:lang w:val="en"/>
          </w:rPr>
          <w:t>NOD–like receptors</w:t>
        </w:r>
      </w:hyperlink>
      <w:r w:rsidRPr="00CF6D50">
        <w:rPr>
          <w:color w:val="000000" w:themeColor="text1"/>
          <w:lang w:val="en"/>
        </w:rPr>
        <w:t xml:space="preserve">, </w:t>
      </w:r>
      <w:hyperlink r:id="rId121" w:tooltip="RIG-I-like receptor" w:history="1">
        <w:r w:rsidRPr="00CF6D50">
          <w:rPr>
            <w:color w:val="000000" w:themeColor="text1"/>
            <w:lang w:val="en"/>
          </w:rPr>
          <w:t>RIG (retinoic acid-inducible gene)-like receptors</w:t>
        </w:r>
      </w:hyperlink>
      <w:r w:rsidRPr="00CF6D50">
        <w:rPr>
          <w:color w:val="000000" w:themeColor="text1"/>
          <w:lang w:val="en"/>
        </w:rPr>
        <w:t>, and cytosolic DNA sensors.</w:t>
      </w:r>
      <w:hyperlink r:id="rId122" w:anchor="cite_note-19" w:history="1">
        <w:r w:rsidRPr="00CF6D50">
          <w:rPr>
            <w:color w:val="000000" w:themeColor="text1"/>
            <w:sz w:val="19"/>
            <w:szCs w:val="19"/>
            <w:vertAlign w:val="superscript"/>
            <w:lang w:val="en"/>
          </w:rPr>
          <w:t>[19]</w:t>
        </w:r>
      </w:hyperlink>
      <w:r w:rsidRPr="00CF6D50">
        <w:rPr>
          <w:color w:val="000000" w:themeColor="text1"/>
          <w:lang w:val="en"/>
        </w:rPr>
        <w:t xml:space="preserve"> </w:t>
      </w:r>
    </w:p>
    <w:p w:rsidR="00157810" w:rsidRPr="00CF6D50" w:rsidRDefault="00157810" w:rsidP="00CF6D50">
      <w:pPr>
        <w:spacing w:after="100" w:afterAutospacing="1" w:line="240" w:lineRule="atLeast"/>
        <w:outlineLvl w:val="3"/>
        <w:rPr>
          <w:i/>
          <w:iCs/>
          <w:color w:val="000000" w:themeColor="text1"/>
          <w:lang w:val="en"/>
        </w:rPr>
      </w:pPr>
      <w:proofErr w:type="spellStart"/>
      <w:r w:rsidRPr="00CF6D50">
        <w:rPr>
          <w:b/>
          <w:bCs/>
          <w:color w:val="000000" w:themeColor="text1"/>
          <w:lang w:val="en"/>
        </w:rPr>
        <w:t>Inflammasomes</w:t>
      </w:r>
      <w:proofErr w:type="spellEnd"/>
      <w:r w:rsidR="00CF6D50" w:rsidRPr="00CF6D50">
        <w:rPr>
          <w:i/>
          <w:iCs/>
          <w:color w:val="000000" w:themeColor="text1"/>
          <w:lang w:val="en"/>
        </w:rPr>
        <w:t xml:space="preserve"> </w:t>
      </w:r>
    </w:p>
    <w:p w:rsidR="00157810" w:rsidRPr="00CF6D50" w:rsidRDefault="00157810" w:rsidP="00CF6D50">
      <w:pPr>
        <w:spacing w:after="100" w:afterAutospacing="1" w:line="240" w:lineRule="atLeast"/>
        <w:rPr>
          <w:color w:val="000000" w:themeColor="text1"/>
          <w:lang w:val="en"/>
        </w:rPr>
      </w:pPr>
      <w:proofErr w:type="spellStart"/>
      <w:r w:rsidRPr="00CF6D50">
        <w:rPr>
          <w:color w:val="000000" w:themeColor="text1"/>
          <w:lang w:val="en"/>
        </w:rPr>
        <w:t>Inflammasomes</w:t>
      </w:r>
      <w:proofErr w:type="spellEnd"/>
      <w:r w:rsidRPr="00CF6D50">
        <w:rPr>
          <w:color w:val="000000" w:themeColor="text1"/>
          <w:lang w:val="en"/>
        </w:rPr>
        <w:t xml:space="preserve"> are multiprotein complexes (consist of an NLR, the adaptor protein ASC, and the effector molecule pro-caspase-1) that form in response to cytosolic PAMPs and DAMPs, whose function is to generate active forms of the inflammatory cytokines IL-1β and IL-18.</w:t>
      </w:r>
      <w:hyperlink r:id="rId123" w:anchor="cite_note-20" w:history="1">
        <w:r w:rsidRPr="00CF6D50">
          <w:rPr>
            <w:color w:val="000000" w:themeColor="text1"/>
            <w:sz w:val="19"/>
            <w:szCs w:val="19"/>
            <w:vertAlign w:val="superscript"/>
            <w:lang w:val="en"/>
          </w:rPr>
          <w:t>[20]</w:t>
        </w:r>
      </w:hyperlink>
      <w:r w:rsidRPr="00CF6D50">
        <w:rPr>
          <w:color w:val="000000" w:themeColor="text1"/>
          <w:lang w:val="en"/>
        </w:rPr>
        <w:t xml:space="preserve"> </w:t>
      </w:r>
    </w:p>
    <w:p w:rsidR="00157810" w:rsidRPr="00CF6D50" w:rsidRDefault="00157810" w:rsidP="00CF6D50">
      <w:pPr>
        <w:spacing w:after="100" w:afterAutospacing="1" w:line="240" w:lineRule="atLeast"/>
        <w:outlineLvl w:val="2"/>
        <w:rPr>
          <w:b/>
          <w:bCs/>
          <w:color w:val="000000" w:themeColor="text1"/>
          <w:sz w:val="27"/>
          <w:szCs w:val="27"/>
          <w:lang w:val="en"/>
        </w:rPr>
      </w:pPr>
      <w:r w:rsidRPr="00CF6D50">
        <w:rPr>
          <w:b/>
          <w:bCs/>
          <w:color w:val="000000" w:themeColor="text1"/>
          <w:sz w:val="27"/>
          <w:szCs w:val="27"/>
          <w:lang w:val="en"/>
        </w:rPr>
        <w:t>Surface barriers</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Several barriers protect organisms from infection, including mechanical, chemical, and biological barriers. The waxy </w:t>
      </w:r>
      <w:hyperlink r:id="rId124" w:tooltip="Plant cuticle" w:history="1">
        <w:r w:rsidRPr="00CF6D50">
          <w:rPr>
            <w:color w:val="000000" w:themeColor="text1"/>
            <w:lang w:val="en"/>
          </w:rPr>
          <w:t>cuticle</w:t>
        </w:r>
      </w:hyperlink>
      <w:r w:rsidRPr="00CF6D50">
        <w:rPr>
          <w:color w:val="000000" w:themeColor="text1"/>
          <w:lang w:val="en"/>
        </w:rPr>
        <w:t xml:space="preserve"> of most </w:t>
      </w:r>
      <w:hyperlink r:id="rId125" w:tooltip="Leaf" w:history="1">
        <w:r w:rsidRPr="00CF6D50">
          <w:rPr>
            <w:color w:val="000000" w:themeColor="text1"/>
            <w:lang w:val="en"/>
          </w:rPr>
          <w:t>leaves</w:t>
        </w:r>
      </w:hyperlink>
      <w:r w:rsidRPr="00CF6D50">
        <w:rPr>
          <w:color w:val="000000" w:themeColor="text1"/>
          <w:lang w:val="en"/>
        </w:rPr>
        <w:t xml:space="preserve">, the </w:t>
      </w:r>
      <w:hyperlink r:id="rId126" w:tooltip="Exoskeleton" w:history="1">
        <w:r w:rsidRPr="00CF6D50">
          <w:rPr>
            <w:color w:val="000000" w:themeColor="text1"/>
            <w:lang w:val="en"/>
          </w:rPr>
          <w:t>exoskeleton</w:t>
        </w:r>
      </w:hyperlink>
      <w:r w:rsidRPr="00CF6D50">
        <w:rPr>
          <w:color w:val="000000" w:themeColor="text1"/>
          <w:lang w:val="en"/>
        </w:rPr>
        <w:t xml:space="preserve"> of </w:t>
      </w:r>
      <w:hyperlink r:id="rId127" w:tooltip="Insect" w:history="1">
        <w:r w:rsidRPr="00CF6D50">
          <w:rPr>
            <w:color w:val="000000" w:themeColor="text1"/>
            <w:lang w:val="en"/>
          </w:rPr>
          <w:t>insects</w:t>
        </w:r>
      </w:hyperlink>
      <w:r w:rsidRPr="00CF6D50">
        <w:rPr>
          <w:color w:val="000000" w:themeColor="text1"/>
          <w:lang w:val="en"/>
        </w:rPr>
        <w:t xml:space="preserve">, the </w:t>
      </w:r>
      <w:hyperlink r:id="rId128" w:tooltip="Eggshell" w:history="1">
        <w:r w:rsidRPr="00CF6D50">
          <w:rPr>
            <w:color w:val="000000" w:themeColor="text1"/>
            <w:lang w:val="en"/>
          </w:rPr>
          <w:t>shells</w:t>
        </w:r>
      </w:hyperlink>
      <w:r w:rsidRPr="00CF6D50">
        <w:rPr>
          <w:color w:val="000000" w:themeColor="text1"/>
          <w:lang w:val="en"/>
        </w:rPr>
        <w:t xml:space="preserve"> and membranes of externally deposited </w:t>
      </w:r>
      <w:hyperlink r:id="rId129" w:tooltip="Egg (biology)" w:history="1">
        <w:r w:rsidRPr="00CF6D50">
          <w:rPr>
            <w:color w:val="000000" w:themeColor="text1"/>
            <w:lang w:val="en"/>
          </w:rPr>
          <w:t>eggs</w:t>
        </w:r>
      </w:hyperlink>
      <w:r w:rsidRPr="00CF6D50">
        <w:rPr>
          <w:color w:val="000000" w:themeColor="text1"/>
          <w:lang w:val="en"/>
        </w:rPr>
        <w:t xml:space="preserve">, and </w:t>
      </w:r>
      <w:hyperlink r:id="rId130" w:tooltip="Skin" w:history="1">
        <w:r w:rsidRPr="00CF6D50">
          <w:rPr>
            <w:color w:val="000000" w:themeColor="text1"/>
            <w:lang w:val="en"/>
          </w:rPr>
          <w:t>skin</w:t>
        </w:r>
      </w:hyperlink>
      <w:r w:rsidRPr="00CF6D50">
        <w:rPr>
          <w:color w:val="000000" w:themeColor="text1"/>
          <w:lang w:val="en"/>
        </w:rPr>
        <w:t xml:space="preserve"> are examples of mechanical barriers that are the first line of defense against infection.</w:t>
      </w:r>
      <w:hyperlink r:id="rId131" w:anchor="cite_note-Alberts-7" w:history="1">
        <w:r w:rsidRPr="00CF6D50">
          <w:rPr>
            <w:color w:val="000000" w:themeColor="text1"/>
            <w:sz w:val="19"/>
            <w:szCs w:val="19"/>
            <w:vertAlign w:val="superscript"/>
            <w:lang w:val="en"/>
          </w:rPr>
          <w:t>[7]</w:t>
        </w:r>
      </w:hyperlink>
      <w:r w:rsidRPr="00CF6D50">
        <w:rPr>
          <w:color w:val="000000" w:themeColor="text1"/>
          <w:lang w:val="en"/>
        </w:rPr>
        <w:t xml:space="preserve"> However, as organisms cannot be completely sealed from their environments, other systems act to protect body openings such as the </w:t>
      </w:r>
      <w:hyperlink r:id="rId132" w:tooltip="Lung" w:history="1">
        <w:r w:rsidRPr="00CF6D50">
          <w:rPr>
            <w:color w:val="000000" w:themeColor="text1"/>
            <w:lang w:val="en"/>
          </w:rPr>
          <w:t>lungs</w:t>
        </w:r>
      </w:hyperlink>
      <w:r w:rsidRPr="00CF6D50">
        <w:rPr>
          <w:color w:val="000000" w:themeColor="text1"/>
          <w:lang w:val="en"/>
        </w:rPr>
        <w:t xml:space="preserve">, </w:t>
      </w:r>
      <w:hyperlink r:id="rId133" w:tooltip="Intestine" w:history="1">
        <w:r w:rsidRPr="00CF6D50">
          <w:rPr>
            <w:color w:val="000000" w:themeColor="text1"/>
            <w:lang w:val="en"/>
          </w:rPr>
          <w:t>intestines</w:t>
        </w:r>
      </w:hyperlink>
      <w:r w:rsidRPr="00CF6D50">
        <w:rPr>
          <w:color w:val="000000" w:themeColor="text1"/>
          <w:lang w:val="en"/>
        </w:rPr>
        <w:t xml:space="preserve">, and the </w:t>
      </w:r>
      <w:hyperlink r:id="rId134" w:tooltip="Genitourinary system" w:history="1">
        <w:r w:rsidRPr="00CF6D50">
          <w:rPr>
            <w:color w:val="000000" w:themeColor="text1"/>
            <w:lang w:val="en"/>
          </w:rPr>
          <w:t>genitourinary tract</w:t>
        </w:r>
      </w:hyperlink>
      <w:r w:rsidRPr="00CF6D50">
        <w:rPr>
          <w:color w:val="000000" w:themeColor="text1"/>
          <w:lang w:val="en"/>
        </w:rPr>
        <w:t xml:space="preserve">. In the lungs, </w:t>
      </w:r>
      <w:hyperlink r:id="rId135" w:tooltip="Cough" w:history="1">
        <w:r w:rsidRPr="00CF6D50">
          <w:rPr>
            <w:color w:val="000000" w:themeColor="text1"/>
            <w:lang w:val="en"/>
          </w:rPr>
          <w:t>coughing</w:t>
        </w:r>
      </w:hyperlink>
      <w:r w:rsidRPr="00CF6D50">
        <w:rPr>
          <w:color w:val="000000" w:themeColor="text1"/>
          <w:lang w:val="en"/>
        </w:rPr>
        <w:t xml:space="preserve"> and </w:t>
      </w:r>
      <w:hyperlink r:id="rId136" w:tooltip="Sneeze" w:history="1">
        <w:r w:rsidRPr="00CF6D50">
          <w:rPr>
            <w:color w:val="000000" w:themeColor="text1"/>
            <w:lang w:val="en"/>
          </w:rPr>
          <w:t>sneezing</w:t>
        </w:r>
      </w:hyperlink>
      <w:r w:rsidRPr="00CF6D50">
        <w:rPr>
          <w:color w:val="000000" w:themeColor="text1"/>
          <w:lang w:val="en"/>
        </w:rPr>
        <w:t xml:space="preserve"> mechanically eject pathogens and other </w:t>
      </w:r>
      <w:hyperlink r:id="rId137" w:tooltip="Irritation" w:history="1">
        <w:r w:rsidRPr="00CF6D50">
          <w:rPr>
            <w:color w:val="000000" w:themeColor="text1"/>
            <w:lang w:val="en"/>
          </w:rPr>
          <w:t>irritants</w:t>
        </w:r>
      </w:hyperlink>
      <w:r w:rsidRPr="00CF6D50">
        <w:rPr>
          <w:color w:val="000000" w:themeColor="text1"/>
          <w:lang w:val="en"/>
        </w:rPr>
        <w:t xml:space="preserve"> from the </w:t>
      </w:r>
      <w:hyperlink r:id="rId138" w:tooltip="Respiratory tract" w:history="1">
        <w:r w:rsidRPr="00CF6D50">
          <w:rPr>
            <w:color w:val="000000" w:themeColor="text1"/>
            <w:lang w:val="en"/>
          </w:rPr>
          <w:t>respiratory tract</w:t>
        </w:r>
      </w:hyperlink>
      <w:r w:rsidRPr="00CF6D50">
        <w:rPr>
          <w:color w:val="000000" w:themeColor="text1"/>
          <w:lang w:val="en"/>
        </w:rPr>
        <w:t xml:space="preserve">. The flushing action of </w:t>
      </w:r>
      <w:hyperlink r:id="rId139" w:tooltip="Tears" w:history="1">
        <w:r w:rsidRPr="00CF6D50">
          <w:rPr>
            <w:color w:val="000000" w:themeColor="text1"/>
            <w:lang w:val="en"/>
          </w:rPr>
          <w:t>tears</w:t>
        </w:r>
      </w:hyperlink>
      <w:r w:rsidRPr="00CF6D50">
        <w:rPr>
          <w:color w:val="000000" w:themeColor="text1"/>
          <w:lang w:val="en"/>
        </w:rPr>
        <w:t xml:space="preserve"> and </w:t>
      </w:r>
      <w:hyperlink r:id="rId140" w:tooltip="Urine" w:history="1">
        <w:r w:rsidRPr="00CF6D50">
          <w:rPr>
            <w:color w:val="000000" w:themeColor="text1"/>
            <w:lang w:val="en"/>
          </w:rPr>
          <w:t>urine</w:t>
        </w:r>
      </w:hyperlink>
      <w:r w:rsidRPr="00CF6D50">
        <w:rPr>
          <w:color w:val="000000" w:themeColor="text1"/>
          <w:lang w:val="en"/>
        </w:rPr>
        <w:t xml:space="preserve"> also </w:t>
      </w:r>
      <w:r w:rsidRPr="00CF6D50">
        <w:rPr>
          <w:color w:val="000000" w:themeColor="text1"/>
          <w:lang w:val="en"/>
        </w:rPr>
        <w:lastRenderedPageBreak/>
        <w:t xml:space="preserve">mechanically expels pathogens, while </w:t>
      </w:r>
      <w:hyperlink r:id="rId141" w:tooltip="Mucus" w:history="1">
        <w:r w:rsidRPr="00CF6D50">
          <w:rPr>
            <w:color w:val="000000" w:themeColor="text1"/>
            <w:lang w:val="en"/>
          </w:rPr>
          <w:t>mucus</w:t>
        </w:r>
      </w:hyperlink>
      <w:r w:rsidRPr="00CF6D50">
        <w:rPr>
          <w:color w:val="000000" w:themeColor="text1"/>
          <w:lang w:val="en"/>
        </w:rPr>
        <w:t xml:space="preserve"> secreted by the respiratory and </w:t>
      </w:r>
      <w:hyperlink r:id="rId142" w:tooltip="Gastrointestinal tract" w:history="1">
        <w:r w:rsidRPr="00CF6D50">
          <w:rPr>
            <w:color w:val="000000" w:themeColor="text1"/>
            <w:lang w:val="en"/>
          </w:rPr>
          <w:t>gastrointestinal tract</w:t>
        </w:r>
      </w:hyperlink>
      <w:r w:rsidRPr="00CF6D50">
        <w:rPr>
          <w:color w:val="000000" w:themeColor="text1"/>
          <w:lang w:val="en"/>
        </w:rPr>
        <w:t xml:space="preserve"> serves to trap and entangle microorganisms.</w:t>
      </w:r>
      <w:hyperlink r:id="rId143" w:anchor="cite_note-21" w:history="1">
        <w:r w:rsidRPr="00CF6D50">
          <w:rPr>
            <w:color w:val="000000" w:themeColor="text1"/>
            <w:sz w:val="19"/>
            <w:szCs w:val="19"/>
            <w:vertAlign w:val="superscript"/>
            <w:lang w:val="en"/>
          </w:rPr>
          <w:t>[21]</w:t>
        </w:r>
      </w:hyperlink>
      <w:r w:rsidRPr="00CF6D50">
        <w:rPr>
          <w:color w:val="000000" w:themeColor="text1"/>
          <w:lang w:val="en"/>
        </w:rPr>
        <w:t xml:space="preserve"> </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Chemical barriers also protect against infection. The skin and respiratory tract secrete </w:t>
      </w:r>
      <w:hyperlink r:id="rId144" w:tooltip="Antimicrobial peptides" w:history="1">
        <w:r w:rsidRPr="00CF6D50">
          <w:rPr>
            <w:color w:val="000000" w:themeColor="text1"/>
            <w:lang w:val="en"/>
          </w:rPr>
          <w:t>antimicrobial peptides</w:t>
        </w:r>
      </w:hyperlink>
      <w:r w:rsidRPr="00CF6D50">
        <w:rPr>
          <w:color w:val="000000" w:themeColor="text1"/>
          <w:lang w:val="en"/>
        </w:rPr>
        <w:t xml:space="preserve"> such as the β-</w:t>
      </w:r>
      <w:proofErr w:type="spellStart"/>
      <w:r w:rsidRPr="00CF6D50">
        <w:rPr>
          <w:color w:val="000000" w:themeColor="text1"/>
          <w:lang w:val="en"/>
        </w:rPr>
        <w:fldChar w:fldCharType="begin"/>
      </w:r>
      <w:r w:rsidRPr="00CF6D50">
        <w:rPr>
          <w:color w:val="000000" w:themeColor="text1"/>
          <w:lang w:val="en"/>
        </w:rPr>
        <w:instrText xml:space="preserve"> HYPERLINK "https://en.wikipedia.org/wiki/Defensin" \o "Defensin" </w:instrText>
      </w:r>
      <w:r w:rsidRPr="00CF6D50">
        <w:rPr>
          <w:color w:val="000000" w:themeColor="text1"/>
          <w:lang w:val="en"/>
        </w:rPr>
        <w:fldChar w:fldCharType="separate"/>
      </w:r>
      <w:r w:rsidRPr="00CF6D50">
        <w:rPr>
          <w:color w:val="000000" w:themeColor="text1"/>
          <w:lang w:val="en"/>
        </w:rPr>
        <w:t>defensins</w:t>
      </w:r>
      <w:proofErr w:type="spellEnd"/>
      <w:r w:rsidRPr="00CF6D50">
        <w:rPr>
          <w:color w:val="000000" w:themeColor="text1"/>
          <w:lang w:val="en"/>
        </w:rPr>
        <w:fldChar w:fldCharType="end"/>
      </w:r>
      <w:r w:rsidRPr="00CF6D50">
        <w:rPr>
          <w:color w:val="000000" w:themeColor="text1"/>
          <w:lang w:val="en"/>
        </w:rPr>
        <w:t>.</w:t>
      </w:r>
      <w:hyperlink r:id="rId145" w:anchor="cite_note-22" w:history="1">
        <w:r w:rsidRPr="00CF6D50">
          <w:rPr>
            <w:color w:val="000000" w:themeColor="text1"/>
            <w:sz w:val="19"/>
            <w:szCs w:val="19"/>
            <w:vertAlign w:val="superscript"/>
            <w:lang w:val="en"/>
          </w:rPr>
          <w:t>[22]</w:t>
        </w:r>
      </w:hyperlink>
      <w:r w:rsidRPr="00CF6D50">
        <w:rPr>
          <w:color w:val="000000" w:themeColor="text1"/>
          <w:lang w:val="en"/>
        </w:rPr>
        <w:t xml:space="preserve"> </w:t>
      </w:r>
      <w:hyperlink r:id="rId146" w:tooltip="Enzyme" w:history="1">
        <w:r w:rsidRPr="00CF6D50">
          <w:rPr>
            <w:color w:val="000000" w:themeColor="text1"/>
            <w:lang w:val="en"/>
          </w:rPr>
          <w:t>Enzymes</w:t>
        </w:r>
      </w:hyperlink>
      <w:r w:rsidRPr="00CF6D50">
        <w:rPr>
          <w:color w:val="000000" w:themeColor="text1"/>
          <w:lang w:val="en"/>
        </w:rPr>
        <w:t xml:space="preserve"> such as </w:t>
      </w:r>
      <w:hyperlink r:id="rId147" w:tooltip="Lysozyme" w:history="1">
        <w:r w:rsidRPr="00CF6D50">
          <w:rPr>
            <w:color w:val="000000" w:themeColor="text1"/>
            <w:lang w:val="en"/>
          </w:rPr>
          <w:t>lysozyme</w:t>
        </w:r>
      </w:hyperlink>
      <w:r w:rsidRPr="00CF6D50">
        <w:rPr>
          <w:color w:val="000000" w:themeColor="text1"/>
          <w:lang w:val="en"/>
        </w:rPr>
        <w:t xml:space="preserve"> and </w:t>
      </w:r>
      <w:hyperlink r:id="rId148" w:tooltip="Phospholipase A2" w:history="1">
        <w:r w:rsidRPr="00CF6D50">
          <w:rPr>
            <w:color w:val="000000" w:themeColor="text1"/>
            <w:lang w:val="en"/>
          </w:rPr>
          <w:t>phospholipase A2</w:t>
        </w:r>
      </w:hyperlink>
      <w:r w:rsidRPr="00CF6D50">
        <w:rPr>
          <w:color w:val="000000" w:themeColor="text1"/>
          <w:lang w:val="en"/>
        </w:rPr>
        <w:t xml:space="preserve"> in </w:t>
      </w:r>
      <w:hyperlink r:id="rId149" w:tooltip="Saliva" w:history="1">
        <w:r w:rsidRPr="00CF6D50">
          <w:rPr>
            <w:color w:val="000000" w:themeColor="text1"/>
            <w:lang w:val="en"/>
          </w:rPr>
          <w:t>saliva</w:t>
        </w:r>
      </w:hyperlink>
      <w:r w:rsidRPr="00CF6D50">
        <w:rPr>
          <w:color w:val="000000" w:themeColor="text1"/>
          <w:lang w:val="en"/>
        </w:rPr>
        <w:t xml:space="preserve">, tears, and </w:t>
      </w:r>
      <w:hyperlink r:id="rId150" w:tooltip="Breast milk" w:history="1">
        <w:r w:rsidRPr="00CF6D50">
          <w:rPr>
            <w:color w:val="000000" w:themeColor="text1"/>
            <w:lang w:val="en"/>
          </w:rPr>
          <w:t>breast milk</w:t>
        </w:r>
      </w:hyperlink>
      <w:r w:rsidRPr="00CF6D50">
        <w:rPr>
          <w:color w:val="000000" w:themeColor="text1"/>
          <w:lang w:val="en"/>
        </w:rPr>
        <w:t xml:space="preserve"> are also </w:t>
      </w:r>
      <w:hyperlink r:id="rId151" w:tooltip="Antiseptic" w:history="1">
        <w:proofErr w:type="spellStart"/>
        <w:r w:rsidRPr="00CF6D50">
          <w:rPr>
            <w:color w:val="000000" w:themeColor="text1"/>
            <w:lang w:val="en"/>
          </w:rPr>
          <w:t>antibacterials</w:t>
        </w:r>
        <w:proofErr w:type="spellEnd"/>
      </w:hyperlink>
      <w:r w:rsidRPr="00CF6D50">
        <w:rPr>
          <w:color w:val="000000" w:themeColor="text1"/>
          <w:lang w:val="en"/>
        </w:rPr>
        <w:t>.</w:t>
      </w:r>
      <w:hyperlink r:id="rId152" w:anchor="cite_note-23" w:history="1">
        <w:r w:rsidRPr="00CF6D50">
          <w:rPr>
            <w:color w:val="000000" w:themeColor="text1"/>
            <w:sz w:val="19"/>
            <w:szCs w:val="19"/>
            <w:vertAlign w:val="superscript"/>
            <w:lang w:val="en"/>
          </w:rPr>
          <w:t>[23]</w:t>
        </w:r>
      </w:hyperlink>
      <w:hyperlink r:id="rId153" w:anchor="cite_note-24" w:history="1">
        <w:r w:rsidRPr="00CF6D50">
          <w:rPr>
            <w:color w:val="000000" w:themeColor="text1"/>
            <w:sz w:val="19"/>
            <w:szCs w:val="19"/>
            <w:vertAlign w:val="superscript"/>
            <w:lang w:val="en"/>
          </w:rPr>
          <w:t>[24]</w:t>
        </w:r>
      </w:hyperlink>
      <w:r w:rsidRPr="00CF6D50">
        <w:rPr>
          <w:color w:val="000000" w:themeColor="text1"/>
          <w:lang w:val="en"/>
        </w:rPr>
        <w:t xml:space="preserve"> </w:t>
      </w:r>
      <w:hyperlink r:id="rId154" w:tooltip="Vagina" w:history="1">
        <w:r w:rsidRPr="00CF6D50">
          <w:rPr>
            <w:color w:val="000000" w:themeColor="text1"/>
            <w:lang w:val="en"/>
          </w:rPr>
          <w:t>Vaginal</w:t>
        </w:r>
      </w:hyperlink>
      <w:r w:rsidRPr="00CF6D50">
        <w:rPr>
          <w:color w:val="000000" w:themeColor="text1"/>
          <w:lang w:val="en"/>
        </w:rPr>
        <w:t xml:space="preserve"> secretions serve as a chemical barrier following </w:t>
      </w:r>
      <w:hyperlink r:id="rId155" w:tooltip="Menarche" w:history="1">
        <w:r w:rsidRPr="00CF6D50">
          <w:rPr>
            <w:color w:val="000000" w:themeColor="text1"/>
            <w:lang w:val="en"/>
          </w:rPr>
          <w:t>menarche</w:t>
        </w:r>
      </w:hyperlink>
      <w:r w:rsidRPr="00CF6D50">
        <w:rPr>
          <w:color w:val="000000" w:themeColor="text1"/>
          <w:lang w:val="en"/>
        </w:rPr>
        <w:t xml:space="preserve">, when they become slightly </w:t>
      </w:r>
      <w:hyperlink r:id="rId156" w:tooltip="Acid" w:history="1">
        <w:r w:rsidRPr="00CF6D50">
          <w:rPr>
            <w:color w:val="000000" w:themeColor="text1"/>
            <w:lang w:val="en"/>
          </w:rPr>
          <w:t>acidic</w:t>
        </w:r>
      </w:hyperlink>
      <w:r w:rsidRPr="00CF6D50">
        <w:rPr>
          <w:color w:val="000000" w:themeColor="text1"/>
          <w:lang w:val="en"/>
        </w:rPr>
        <w:t xml:space="preserve">, while </w:t>
      </w:r>
      <w:hyperlink r:id="rId157" w:tooltip="Semen" w:history="1">
        <w:r w:rsidRPr="00CF6D50">
          <w:rPr>
            <w:color w:val="000000" w:themeColor="text1"/>
            <w:lang w:val="en"/>
          </w:rPr>
          <w:t>semen</w:t>
        </w:r>
      </w:hyperlink>
      <w:r w:rsidRPr="00CF6D50">
        <w:rPr>
          <w:color w:val="000000" w:themeColor="text1"/>
          <w:lang w:val="en"/>
        </w:rPr>
        <w:t xml:space="preserve"> contains </w:t>
      </w:r>
      <w:proofErr w:type="spellStart"/>
      <w:r w:rsidRPr="00CF6D50">
        <w:rPr>
          <w:color w:val="000000" w:themeColor="text1"/>
          <w:lang w:val="en"/>
        </w:rPr>
        <w:t>defensins</w:t>
      </w:r>
      <w:proofErr w:type="spellEnd"/>
      <w:r w:rsidRPr="00CF6D50">
        <w:rPr>
          <w:color w:val="000000" w:themeColor="text1"/>
          <w:lang w:val="en"/>
        </w:rPr>
        <w:t xml:space="preserve"> and </w:t>
      </w:r>
      <w:hyperlink r:id="rId158" w:tooltip="Zinc" w:history="1">
        <w:r w:rsidRPr="00CF6D50">
          <w:rPr>
            <w:color w:val="000000" w:themeColor="text1"/>
            <w:lang w:val="en"/>
          </w:rPr>
          <w:t>zinc</w:t>
        </w:r>
      </w:hyperlink>
      <w:r w:rsidRPr="00CF6D50">
        <w:rPr>
          <w:color w:val="000000" w:themeColor="text1"/>
          <w:lang w:val="en"/>
        </w:rPr>
        <w:t xml:space="preserve"> to kill pathogens.</w:t>
      </w:r>
      <w:hyperlink r:id="rId159" w:anchor="cite_note-25" w:history="1">
        <w:r w:rsidRPr="00CF6D50">
          <w:rPr>
            <w:color w:val="000000" w:themeColor="text1"/>
            <w:sz w:val="19"/>
            <w:szCs w:val="19"/>
            <w:vertAlign w:val="superscript"/>
            <w:lang w:val="en"/>
          </w:rPr>
          <w:t>[25</w:t>
        </w:r>
        <w:proofErr w:type="gramStart"/>
        <w:r w:rsidRPr="00CF6D50">
          <w:rPr>
            <w:color w:val="000000" w:themeColor="text1"/>
            <w:sz w:val="19"/>
            <w:szCs w:val="19"/>
            <w:vertAlign w:val="superscript"/>
            <w:lang w:val="en"/>
          </w:rPr>
          <w:t>]</w:t>
        </w:r>
        <w:proofErr w:type="gramEnd"/>
      </w:hyperlink>
      <w:hyperlink r:id="rId160" w:anchor="cite_note-26" w:history="1">
        <w:r w:rsidRPr="00CF6D50">
          <w:rPr>
            <w:color w:val="000000" w:themeColor="text1"/>
            <w:sz w:val="19"/>
            <w:szCs w:val="19"/>
            <w:vertAlign w:val="superscript"/>
            <w:lang w:val="en"/>
          </w:rPr>
          <w:t>[26]</w:t>
        </w:r>
      </w:hyperlink>
      <w:r w:rsidRPr="00CF6D50">
        <w:rPr>
          <w:color w:val="000000" w:themeColor="text1"/>
          <w:lang w:val="en"/>
        </w:rPr>
        <w:t xml:space="preserve"> In the </w:t>
      </w:r>
      <w:hyperlink r:id="rId161" w:tooltip="Stomach" w:history="1">
        <w:r w:rsidRPr="00CF6D50">
          <w:rPr>
            <w:color w:val="000000" w:themeColor="text1"/>
            <w:lang w:val="en"/>
          </w:rPr>
          <w:t>stomach</w:t>
        </w:r>
      </w:hyperlink>
      <w:r w:rsidRPr="00CF6D50">
        <w:rPr>
          <w:color w:val="000000" w:themeColor="text1"/>
          <w:lang w:val="en"/>
        </w:rPr>
        <w:t xml:space="preserve">, </w:t>
      </w:r>
      <w:hyperlink r:id="rId162" w:tooltip="Gastric acid" w:history="1">
        <w:r w:rsidRPr="00CF6D50">
          <w:rPr>
            <w:color w:val="000000" w:themeColor="text1"/>
            <w:lang w:val="en"/>
          </w:rPr>
          <w:t>gastric acid</w:t>
        </w:r>
      </w:hyperlink>
      <w:r w:rsidRPr="00CF6D50">
        <w:rPr>
          <w:color w:val="000000" w:themeColor="text1"/>
          <w:lang w:val="en"/>
        </w:rPr>
        <w:t xml:space="preserve"> serves as a powerful chemical defense against ingested pathogens.</w:t>
      </w:r>
      <w:hyperlink r:id="rId163" w:anchor="cite_note-27" w:history="1">
        <w:r w:rsidRPr="00CF6D50">
          <w:rPr>
            <w:color w:val="000000" w:themeColor="text1"/>
            <w:sz w:val="19"/>
            <w:szCs w:val="19"/>
            <w:vertAlign w:val="superscript"/>
            <w:lang w:val="en"/>
          </w:rPr>
          <w:t>[27]</w:t>
        </w:r>
      </w:hyperlink>
      <w:r w:rsidRPr="00CF6D50">
        <w:rPr>
          <w:color w:val="000000" w:themeColor="text1"/>
          <w:lang w:val="en"/>
        </w:rPr>
        <w:t xml:space="preserve"> </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Within the genitourinary and gastrointestinal tracts, </w:t>
      </w:r>
      <w:hyperlink r:id="rId164" w:tooltip="Commensalism" w:history="1">
        <w:r w:rsidRPr="00CF6D50">
          <w:rPr>
            <w:color w:val="000000" w:themeColor="text1"/>
            <w:lang w:val="en"/>
          </w:rPr>
          <w:t>commensal</w:t>
        </w:r>
      </w:hyperlink>
      <w:r w:rsidRPr="00CF6D50">
        <w:rPr>
          <w:color w:val="000000" w:themeColor="text1"/>
          <w:lang w:val="en"/>
        </w:rPr>
        <w:t xml:space="preserve"> </w:t>
      </w:r>
      <w:hyperlink r:id="rId165" w:tooltip="Gut flora" w:history="1">
        <w:r w:rsidRPr="00CF6D50">
          <w:rPr>
            <w:color w:val="000000" w:themeColor="text1"/>
            <w:lang w:val="en"/>
          </w:rPr>
          <w:t>flora</w:t>
        </w:r>
      </w:hyperlink>
      <w:r w:rsidRPr="00CF6D50">
        <w:rPr>
          <w:color w:val="000000" w:themeColor="text1"/>
          <w:lang w:val="en"/>
        </w:rPr>
        <w:t xml:space="preserve"> serve as biological barriers by competing with pathogenic bacteria for food and space and, in some cases, by changing the conditions in their environment, such as </w:t>
      </w:r>
      <w:hyperlink r:id="rId166" w:tooltip="PH" w:history="1">
        <w:r w:rsidRPr="00CF6D50">
          <w:rPr>
            <w:color w:val="000000" w:themeColor="text1"/>
            <w:lang w:val="en"/>
          </w:rPr>
          <w:t>pH</w:t>
        </w:r>
      </w:hyperlink>
      <w:r w:rsidRPr="00CF6D50">
        <w:rPr>
          <w:color w:val="000000" w:themeColor="text1"/>
          <w:lang w:val="en"/>
        </w:rPr>
        <w:t xml:space="preserve"> or available iron.</w:t>
      </w:r>
      <w:hyperlink r:id="rId167" w:anchor="cite_note-28" w:history="1">
        <w:r w:rsidRPr="00CF6D50">
          <w:rPr>
            <w:color w:val="000000" w:themeColor="text1"/>
            <w:sz w:val="19"/>
            <w:szCs w:val="19"/>
            <w:vertAlign w:val="superscript"/>
            <w:lang w:val="en"/>
          </w:rPr>
          <w:t>[28]</w:t>
        </w:r>
      </w:hyperlink>
      <w:r w:rsidRPr="00CF6D50">
        <w:rPr>
          <w:color w:val="000000" w:themeColor="text1"/>
          <w:lang w:val="en"/>
        </w:rPr>
        <w:t xml:space="preserve"> As a result of the </w:t>
      </w:r>
      <w:hyperlink r:id="rId168" w:tooltip="Microbial symbiosis and immunity" w:history="1">
        <w:r w:rsidRPr="00CF6D50">
          <w:rPr>
            <w:color w:val="000000" w:themeColor="text1"/>
            <w:lang w:val="en"/>
          </w:rPr>
          <w:t>symbiotic relationship between commensals and the immune system</w:t>
        </w:r>
      </w:hyperlink>
      <w:r w:rsidRPr="00CF6D50">
        <w:rPr>
          <w:color w:val="000000" w:themeColor="text1"/>
          <w:lang w:val="en"/>
        </w:rPr>
        <w:t xml:space="preserve">, the probability that pathogens will reach sufficient numbers to cause illness is reduced. However, since most </w:t>
      </w:r>
      <w:hyperlink r:id="rId169" w:tooltip="Antibiotic" w:history="1">
        <w:r w:rsidRPr="00CF6D50">
          <w:rPr>
            <w:color w:val="000000" w:themeColor="text1"/>
            <w:lang w:val="en"/>
          </w:rPr>
          <w:t>antibiotics</w:t>
        </w:r>
      </w:hyperlink>
      <w:r w:rsidRPr="00CF6D50">
        <w:rPr>
          <w:color w:val="000000" w:themeColor="text1"/>
          <w:lang w:val="en"/>
        </w:rPr>
        <w:t xml:space="preserve"> non-specifically target bacteria and do not affect fungi, oral antibiotics can lead to an "overgrowth" of </w:t>
      </w:r>
      <w:hyperlink r:id="rId170" w:tooltip="Fungus" w:history="1">
        <w:r w:rsidRPr="00CF6D50">
          <w:rPr>
            <w:color w:val="000000" w:themeColor="text1"/>
            <w:lang w:val="en"/>
          </w:rPr>
          <w:t>fungi</w:t>
        </w:r>
      </w:hyperlink>
      <w:r w:rsidRPr="00CF6D50">
        <w:rPr>
          <w:color w:val="000000" w:themeColor="text1"/>
          <w:lang w:val="en"/>
        </w:rPr>
        <w:t xml:space="preserve"> and cause conditions such as a vaginal </w:t>
      </w:r>
      <w:hyperlink r:id="rId171" w:tooltip="Candidiasis" w:history="1">
        <w:r w:rsidRPr="00CF6D50">
          <w:rPr>
            <w:color w:val="000000" w:themeColor="text1"/>
            <w:lang w:val="en"/>
          </w:rPr>
          <w:t>candidiasis</w:t>
        </w:r>
      </w:hyperlink>
      <w:r w:rsidRPr="00CF6D50">
        <w:rPr>
          <w:color w:val="000000" w:themeColor="text1"/>
          <w:lang w:val="en"/>
        </w:rPr>
        <w:t xml:space="preserve"> (a yeast infection).</w:t>
      </w:r>
      <w:hyperlink r:id="rId172" w:anchor="cite_note-29" w:history="1">
        <w:r w:rsidRPr="00CF6D50">
          <w:rPr>
            <w:color w:val="000000" w:themeColor="text1"/>
            <w:sz w:val="19"/>
            <w:szCs w:val="19"/>
            <w:vertAlign w:val="superscript"/>
            <w:lang w:val="en"/>
          </w:rPr>
          <w:t>[29]</w:t>
        </w:r>
      </w:hyperlink>
      <w:r w:rsidRPr="00CF6D50">
        <w:rPr>
          <w:color w:val="000000" w:themeColor="text1"/>
          <w:lang w:val="en"/>
        </w:rPr>
        <w:t xml:space="preserve"> There is good evidence that re-introduction of </w:t>
      </w:r>
      <w:hyperlink r:id="rId173" w:tooltip="Probiotic" w:history="1">
        <w:r w:rsidRPr="00CF6D50">
          <w:rPr>
            <w:color w:val="000000" w:themeColor="text1"/>
            <w:lang w:val="en"/>
          </w:rPr>
          <w:t>probiotic</w:t>
        </w:r>
      </w:hyperlink>
      <w:r w:rsidRPr="00CF6D50">
        <w:rPr>
          <w:color w:val="000000" w:themeColor="text1"/>
          <w:lang w:val="en"/>
        </w:rPr>
        <w:t xml:space="preserve"> flora, such as pure cultures of the </w:t>
      </w:r>
      <w:hyperlink r:id="rId174" w:tooltip="Lactobacillus" w:history="1">
        <w:r w:rsidRPr="00CF6D50">
          <w:rPr>
            <w:color w:val="000000" w:themeColor="text1"/>
            <w:lang w:val="en"/>
          </w:rPr>
          <w:t>lactobacilli</w:t>
        </w:r>
      </w:hyperlink>
      <w:r w:rsidRPr="00CF6D50">
        <w:rPr>
          <w:color w:val="000000" w:themeColor="text1"/>
          <w:lang w:val="en"/>
        </w:rPr>
        <w:t xml:space="preserve"> normally found in unpasteurized </w:t>
      </w:r>
      <w:hyperlink r:id="rId175" w:tooltip="Yogurt" w:history="1">
        <w:r w:rsidRPr="00CF6D50">
          <w:rPr>
            <w:color w:val="000000" w:themeColor="text1"/>
            <w:lang w:val="en"/>
          </w:rPr>
          <w:t>yogurt</w:t>
        </w:r>
      </w:hyperlink>
      <w:r w:rsidRPr="00CF6D50">
        <w:rPr>
          <w:color w:val="000000" w:themeColor="text1"/>
          <w:lang w:val="en"/>
        </w:rPr>
        <w:t xml:space="preserve">, helps restore a healthy balance of microbial populations in intestinal infections in children and encouraging preliminary data in studies on </w:t>
      </w:r>
      <w:hyperlink r:id="rId176" w:tooltip="Bacterial gastroenteritis" w:history="1">
        <w:r w:rsidRPr="00CF6D50">
          <w:rPr>
            <w:color w:val="000000" w:themeColor="text1"/>
            <w:lang w:val="en"/>
          </w:rPr>
          <w:t>bacterial gastroenteritis</w:t>
        </w:r>
      </w:hyperlink>
      <w:r w:rsidRPr="00CF6D50">
        <w:rPr>
          <w:color w:val="000000" w:themeColor="text1"/>
          <w:lang w:val="en"/>
        </w:rPr>
        <w:t xml:space="preserve">, </w:t>
      </w:r>
      <w:hyperlink r:id="rId177" w:tooltip="Inflammatory bowel disease" w:history="1">
        <w:r w:rsidRPr="00CF6D50">
          <w:rPr>
            <w:color w:val="000000" w:themeColor="text1"/>
            <w:lang w:val="en"/>
          </w:rPr>
          <w:t>inflammatory bowel diseases</w:t>
        </w:r>
      </w:hyperlink>
      <w:r w:rsidRPr="00CF6D50">
        <w:rPr>
          <w:color w:val="000000" w:themeColor="text1"/>
          <w:lang w:val="en"/>
        </w:rPr>
        <w:t xml:space="preserve">, </w:t>
      </w:r>
      <w:hyperlink r:id="rId178" w:tooltip="Urinary tract infection" w:history="1">
        <w:r w:rsidRPr="00CF6D50">
          <w:rPr>
            <w:color w:val="000000" w:themeColor="text1"/>
            <w:lang w:val="en"/>
          </w:rPr>
          <w:t>urinary tract infection</w:t>
        </w:r>
      </w:hyperlink>
      <w:r w:rsidRPr="00CF6D50">
        <w:rPr>
          <w:color w:val="000000" w:themeColor="text1"/>
          <w:lang w:val="en"/>
        </w:rPr>
        <w:t xml:space="preserve"> and </w:t>
      </w:r>
      <w:hyperlink r:id="rId179" w:tooltip="Post-surgical infections" w:history="1">
        <w:r w:rsidRPr="00CF6D50">
          <w:rPr>
            <w:color w:val="000000" w:themeColor="text1"/>
            <w:lang w:val="en"/>
          </w:rPr>
          <w:t>post-surgical infections</w:t>
        </w:r>
      </w:hyperlink>
      <w:r w:rsidRPr="00CF6D50">
        <w:rPr>
          <w:color w:val="000000" w:themeColor="text1"/>
          <w:lang w:val="en"/>
        </w:rPr>
        <w:t>.</w:t>
      </w:r>
      <w:hyperlink r:id="rId180" w:anchor="cite_note-30" w:history="1">
        <w:r w:rsidRPr="00CF6D50">
          <w:rPr>
            <w:color w:val="000000" w:themeColor="text1"/>
            <w:sz w:val="19"/>
            <w:szCs w:val="19"/>
            <w:vertAlign w:val="superscript"/>
            <w:lang w:val="en"/>
          </w:rPr>
          <w:t>[30</w:t>
        </w:r>
        <w:proofErr w:type="gramStart"/>
        <w:r w:rsidRPr="00CF6D50">
          <w:rPr>
            <w:color w:val="000000" w:themeColor="text1"/>
            <w:sz w:val="19"/>
            <w:szCs w:val="19"/>
            <w:vertAlign w:val="superscript"/>
            <w:lang w:val="en"/>
          </w:rPr>
          <w:t>]</w:t>
        </w:r>
        <w:proofErr w:type="gramEnd"/>
      </w:hyperlink>
      <w:hyperlink r:id="rId181" w:anchor="cite_note-31" w:history="1">
        <w:r w:rsidRPr="00CF6D50">
          <w:rPr>
            <w:color w:val="000000" w:themeColor="text1"/>
            <w:sz w:val="19"/>
            <w:szCs w:val="19"/>
            <w:vertAlign w:val="superscript"/>
            <w:lang w:val="en"/>
          </w:rPr>
          <w:t>[31]</w:t>
        </w:r>
      </w:hyperlink>
      <w:hyperlink r:id="rId182" w:anchor="cite_note-32" w:history="1">
        <w:r w:rsidRPr="00CF6D50">
          <w:rPr>
            <w:color w:val="000000" w:themeColor="text1"/>
            <w:sz w:val="19"/>
            <w:szCs w:val="19"/>
            <w:vertAlign w:val="superscript"/>
            <w:lang w:val="en"/>
          </w:rPr>
          <w:t>[32]</w:t>
        </w:r>
      </w:hyperlink>
      <w:r w:rsidRPr="00CF6D50">
        <w:rPr>
          <w:color w:val="000000" w:themeColor="text1"/>
          <w:lang w:val="en"/>
        </w:rPr>
        <w:t xml:space="preserve"> </w:t>
      </w:r>
    </w:p>
    <w:p w:rsidR="00157810" w:rsidRPr="00CF6D50" w:rsidRDefault="00157810" w:rsidP="00CF6D50">
      <w:pPr>
        <w:spacing w:after="100" w:afterAutospacing="1" w:line="240" w:lineRule="atLeast"/>
        <w:outlineLvl w:val="2"/>
        <w:rPr>
          <w:color w:val="000000" w:themeColor="text1"/>
          <w:lang w:val="en"/>
        </w:rPr>
      </w:pPr>
      <w:r w:rsidRPr="00CF6D50">
        <w:rPr>
          <w:b/>
          <w:bCs/>
          <w:color w:val="000000" w:themeColor="text1"/>
          <w:sz w:val="27"/>
          <w:szCs w:val="27"/>
          <w:lang w:val="en"/>
        </w:rPr>
        <w:t>Cellular components</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Leukocytes (white blood cells) act like independent, single-celled organisms and are the second arm of the innate immune system.</w:t>
      </w:r>
      <w:hyperlink r:id="rId183" w:anchor="cite_note-Alberts-7" w:history="1">
        <w:r w:rsidRPr="00CF6D50">
          <w:rPr>
            <w:color w:val="000000" w:themeColor="text1"/>
            <w:sz w:val="19"/>
            <w:szCs w:val="19"/>
            <w:vertAlign w:val="superscript"/>
            <w:lang w:val="en"/>
          </w:rPr>
          <w:t>[7]</w:t>
        </w:r>
      </w:hyperlink>
      <w:r w:rsidRPr="00CF6D50">
        <w:rPr>
          <w:color w:val="000000" w:themeColor="text1"/>
          <w:lang w:val="en"/>
        </w:rPr>
        <w:t xml:space="preserve"> The innate leukocytes include the </w:t>
      </w:r>
      <w:hyperlink r:id="rId184" w:tooltip="Phagocyte" w:history="1">
        <w:r w:rsidRPr="00CF6D50">
          <w:rPr>
            <w:color w:val="000000" w:themeColor="text1"/>
            <w:lang w:val="en"/>
          </w:rPr>
          <w:t>phagocytes</w:t>
        </w:r>
      </w:hyperlink>
      <w:r w:rsidRPr="00CF6D50">
        <w:rPr>
          <w:color w:val="000000" w:themeColor="text1"/>
          <w:lang w:val="en"/>
        </w:rPr>
        <w:t xml:space="preserve"> (</w:t>
      </w:r>
      <w:hyperlink r:id="rId185" w:tooltip="Macrophage" w:history="1">
        <w:r w:rsidRPr="00CF6D50">
          <w:rPr>
            <w:color w:val="000000" w:themeColor="text1"/>
            <w:lang w:val="en"/>
          </w:rPr>
          <w:t>macrophages</w:t>
        </w:r>
      </w:hyperlink>
      <w:r w:rsidRPr="00CF6D50">
        <w:rPr>
          <w:color w:val="000000" w:themeColor="text1"/>
          <w:lang w:val="en"/>
        </w:rPr>
        <w:t xml:space="preserve">, </w:t>
      </w:r>
      <w:hyperlink r:id="rId186" w:tooltip="Neutrophil granulocyte" w:history="1">
        <w:r w:rsidRPr="00CF6D50">
          <w:rPr>
            <w:color w:val="000000" w:themeColor="text1"/>
            <w:lang w:val="en"/>
          </w:rPr>
          <w:t>neutrophils</w:t>
        </w:r>
      </w:hyperlink>
      <w:r w:rsidRPr="00CF6D50">
        <w:rPr>
          <w:color w:val="000000" w:themeColor="text1"/>
          <w:lang w:val="en"/>
        </w:rPr>
        <w:t xml:space="preserve">, and </w:t>
      </w:r>
      <w:hyperlink r:id="rId187" w:tooltip="Dendritic cell" w:history="1">
        <w:r w:rsidRPr="00CF6D50">
          <w:rPr>
            <w:color w:val="000000" w:themeColor="text1"/>
            <w:lang w:val="en"/>
          </w:rPr>
          <w:t>dendritic cells</w:t>
        </w:r>
      </w:hyperlink>
      <w:r w:rsidRPr="00CF6D50">
        <w:rPr>
          <w:color w:val="000000" w:themeColor="text1"/>
          <w:lang w:val="en"/>
        </w:rPr>
        <w:t xml:space="preserve">), </w:t>
      </w:r>
      <w:hyperlink r:id="rId188" w:tooltip="Innate lymphoid cell" w:history="1">
        <w:r w:rsidRPr="00CF6D50">
          <w:rPr>
            <w:color w:val="000000" w:themeColor="text1"/>
            <w:lang w:val="en"/>
          </w:rPr>
          <w:t>innate lymphoid cells</w:t>
        </w:r>
      </w:hyperlink>
      <w:r w:rsidRPr="00CF6D50">
        <w:rPr>
          <w:color w:val="000000" w:themeColor="text1"/>
          <w:lang w:val="en"/>
        </w:rPr>
        <w:t xml:space="preserve">, </w:t>
      </w:r>
      <w:hyperlink r:id="rId189" w:tooltip="Mast cell" w:history="1">
        <w:r w:rsidRPr="00CF6D50">
          <w:rPr>
            <w:color w:val="000000" w:themeColor="text1"/>
            <w:lang w:val="en"/>
          </w:rPr>
          <w:t>mast cells</w:t>
        </w:r>
      </w:hyperlink>
      <w:r w:rsidRPr="00CF6D50">
        <w:rPr>
          <w:color w:val="000000" w:themeColor="text1"/>
          <w:lang w:val="en"/>
        </w:rPr>
        <w:t xml:space="preserve">, </w:t>
      </w:r>
      <w:hyperlink r:id="rId190" w:tooltip="Eosinophil granulocyte" w:history="1">
        <w:r w:rsidRPr="00CF6D50">
          <w:rPr>
            <w:color w:val="000000" w:themeColor="text1"/>
            <w:lang w:val="en"/>
          </w:rPr>
          <w:t>eosinophils</w:t>
        </w:r>
      </w:hyperlink>
      <w:r w:rsidRPr="00CF6D50">
        <w:rPr>
          <w:color w:val="000000" w:themeColor="text1"/>
          <w:lang w:val="en"/>
        </w:rPr>
        <w:t xml:space="preserve">, </w:t>
      </w:r>
      <w:hyperlink r:id="rId191" w:tooltip="Basophil granulocyte" w:history="1">
        <w:r w:rsidRPr="00CF6D50">
          <w:rPr>
            <w:color w:val="000000" w:themeColor="text1"/>
            <w:lang w:val="en"/>
          </w:rPr>
          <w:t>basophils</w:t>
        </w:r>
      </w:hyperlink>
      <w:r w:rsidRPr="00CF6D50">
        <w:rPr>
          <w:color w:val="000000" w:themeColor="text1"/>
          <w:lang w:val="en"/>
        </w:rPr>
        <w:t xml:space="preserve">, and </w:t>
      </w:r>
      <w:hyperlink r:id="rId192" w:tooltip="Natural killer cell" w:history="1">
        <w:r w:rsidRPr="00CF6D50">
          <w:rPr>
            <w:color w:val="000000" w:themeColor="text1"/>
            <w:lang w:val="en"/>
          </w:rPr>
          <w:t>natural killer cells</w:t>
        </w:r>
      </w:hyperlink>
      <w:r w:rsidRPr="00CF6D50">
        <w:rPr>
          <w:color w:val="000000" w:themeColor="text1"/>
          <w:lang w:val="en"/>
        </w:rPr>
        <w:t>. These cells identify and eliminate pathogens, either by attacking larger pathogens through contact or by engulfing and then killing microorganisms.</w:t>
      </w:r>
      <w:hyperlink r:id="rId193" w:anchor="cite_note-Janeway6-33" w:history="1">
        <w:r w:rsidRPr="00CF6D50">
          <w:rPr>
            <w:color w:val="000000" w:themeColor="text1"/>
            <w:sz w:val="19"/>
            <w:szCs w:val="19"/>
            <w:vertAlign w:val="superscript"/>
            <w:lang w:val="en"/>
          </w:rPr>
          <w:t>[33]</w:t>
        </w:r>
      </w:hyperlink>
      <w:r w:rsidRPr="00CF6D50">
        <w:rPr>
          <w:color w:val="000000" w:themeColor="text1"/>
          <w:lang w:val="en"/>
        </w:rPr>
        <w:t xml:space="preserve"> Innate cells are also important mediators in lymphoid organ development and the activation of the adaptive immune system.</w:t>
      </w:r>
      <w:hyperlink r:id="rId194" w:anchor="cite_note-Withers_2016-34" w:history="1">
        <w:r w:rsidRPr="00CF6D50">
          <w:rPr>
            <w:color w:val="000000" w:themeColor="text1"/>
            <w:sz w:val="19"/>
            <w:szCs w:val="19"/>
            <w:vertAlign w:val="superscript"/>
            <w:lang w:val="en"/>
          </w:rPr>
          <w:t>[34]</w:t>
        </w:r>
      </w:hyperlink>
      <w:r w:rsidR="00CF6D50">
        <w:rPr>
          <w:color w:val="000000" w:themeColor="text1"/>
          <w:lang w:val="en"/>
        </w:rPr>
        <w:t xml:space="preserve"> </w:t>
      </w:r>
      <w:hyperlink r:id="rId195" w:tooltip="Phagocytosis" w:history="1">
        <w:r w:rsidRPr="00CF6D50">
          <w:rPr>
            <w:color w:val="000000" w:themeColor="text1"/>
            <w:lang w:val="en"/>
          </w:rPr>
          <w:t>Phagocytosis</w:t>
        </w:r>
      </w:hyperlink>
      <w:r w:rsidRPr="00CF6D50">
        <w:rPr>
          <w:color w:val="000000" w:themeColor="text1"/>
          <w:lang w:val="en"/>
        </w:rPr>
        <w:t xml:space="preserve"> is an important feature of cellular innate immunity performed by cells called phagocytes that engulf, or eat, pathogens or particles. Phagocytes generally patrol the body searching for pathogens, but can be called to specific locations by cytokines.</w:t>
      </w:r>
      <w:hyperlink r:id="rId196" w:anchor="cite_note-Alberts-7" w:history="1">
        <w:r w:rsidRPr="00CF6D50">
          <w:rPr>
            <w:color w:val="000000" w:themeColor="text1"/>
            <w:sz w:val="19"/>
            <w:szCs w:val="19"/>
            <w:vertAlign w:val="superscript"/>
            <w:lang w:val="en"/>
          </w:rPr>
          <w:t>[7]</w:t>
        </w:r>
      </w:hyperlink>
      <w:r w:rsidRPr="00CF6D50">
        <w:rPr>
          <w:color w:val="000000" w:themeColor="text1"/>
          <w:lang w:val="en"/>
        </w:rPr>
        <w:t xml:space="preserve"> Once a pathogen has been engulfed by a phagocyte, it becomes trapped in an intracellular </w:t>
      </w:r>
      <w:hyperlink r:id="rId197" w:tooltip="Vesicle (biology)" w:history="1">
        <w:r w:rsidRPr="00CF6D50">
          <w:rPr>
            <w:color w:val="000000" w:themeColor="text1"/>
            <w:lang w:val="en"/>
          </w:rPr>
          <w:t>vesicle</w:t>
        </w:r>
      </w:hyperlink>
      <w:r w:rsidRPr="00CF6D50">
        <w:rPr>
          <w:color w:val="000000" w:themeColor="text1"/>
          <w:lang w:val="en"/>
        </w:rPr>
        <w:t xml:space="preserve"> called a </w:t>
      </w:r>
      <w:hyperlink r:id="rId198" w:tooltip="Phagosome" w:history="1">
        <w:r w:rsidRPr="00CF6D50">
          <w:rPr>
            <w:color w:val="000000" w:themeColor="text1"/>
            <w:lang w:val="en"/>
          </w:rPr>
          <w:t>phagosome</w:t>
        </w:r>
      </w:hyperlink>
      <w:r w:rsidRPr="00CF6D50">
        <w:rPr>
          <w:color w:val="000000" w:themeColor="text1"/>
          <w:lang w:val="en"/>
        </w:rPr>
        <w:t xml:space="preserve">, which subsequently fuses with another vesicle called a </w:t>
      </w:r>
      <w:hyperlink r:id="rId199" w:tooltip="Lysosome" w:history="1">
        <w:r w:rsidRPr="00CF6D50">
          <w:rPr>
            <w:color w:val="000000" w:themeColor="text1"/>
            <w:lang w:val="en"/>
          </w:rPr>
          <w:t>lysosome</w:t>
        </w:r>
      </w:hyperlink>
      <w:r w:rsidRPr="00CF6D50">
        <w:rPr>
          <w:color w:val="000000" w:themeColor="text1"/>
          <w:lang w:val="en"/>
        </w:rPr>
        <w:t xml:space="preserve"> to form a </w:t>
      </w:r>
      <w:hyperlink r:id="rId200" w:tooltip="Phagolysosome" w:history="1">
        <w:r w:rsidRPr="00CF6D50">
          <w:rPr>
            <w:color w:val="000000" w:themeColor="text1"/>
            <w:lang w:val="en"/>
          </w:rPr>
          <w:t>phagolysosome</w:t>
        </w:r>
      </w:hyperlink>
      <w:r w:rsidRPr="00CF6D50">
        <w:rPr>
          <w:color w:val="000000" w:themeColor="text1"/>
          <w:lang w:val="en"/>
        </w:rPr>
        <w:t xml:space="preserve">. The pathogen is killed by the activity of digestive enzymes or following a </w:t>
      </w:r>
      <w:hyperlink r:id="rId201" w:tooltip="Respiratory burst" w:history="1">
        <w:r w:rsidRPr="00CF6D50">
          <w:rPr>
            <w:color w:val="000000" w:themeColor="text1"/>
            <w:lang w:val="en"/>
          </w:rPr>
          <w:t>respiratory burst</w:t>
        </w:r>
      </w:hyperlink>
      <w:r w:rsidRPr="00CF6D50">
        <w:rPr>
          <w:color w:val="000000" w:themeColor="text1"/>
          <w:lang w:val="en"/>
        </w:rPr>
        <w:t xml:space="preserve"> that releases </w:t>
      </w:r>
      <w:hyperlink r:id="rId202" w:tooltip="Radical (chemistry)" w:history="1">
        <w:r w:rsidRPr="00CF6D50">
          <w:rPr>
            <w:color w:val="000000" w:themeColor="text1"/>
            <w:lang w:val="en"/>
          </w:rPr>
          <w:t>free radicals</w:t>
        </w:r>
      </w:hyperlink>
      <w:r w:rsidRPr="00CF6D50">
        <w:rPr>
          <w:color w:val="000000" w:themeColor="text1"/>
          <w:lang w:val="en"/>
        </w:rPr>
        <w:t xml:space="preserve"> into the phagolysosome.</w:t>
      </w:r>
      <w:hyperlink r:id="rId203" w:anchor="cite_note-35" w:history="1">
        <w:r w:rsidRPr="00CF6D50">
          <w:rPr>
            <w:color w:val="000000" w:themeColor="text1"/>
            <w:sz w:val="19"/>
            <w:szCs w:val="19"/>
            <w:vertAlign w:val="superscript"/>
            <w:lang w:val="en"/>
          </w:rPr>
          <w:t>[35</w:t>
        </w:r>
        <w:proofErr w:type="gramStart"/>
        <w:r w:rsidRPr="00CF6D50">
          <w:rPr>
            <w:color w:val="000000" w:themeColor="text1"/>
            <w:sz w:val="19"/>
            <w:szCs w:val="19"/>
            <w:vertAlign w:val="superscript"/>
            <w:lang w:val="en"/>
          </w:rPr>
          <w:t>]</w:t>
        </w:r>
        <w:proofErr w:type="gramEnd"/>
      </w:hyperlink>
      <w:hyperlink r:id="rId204" w:anchor="cite_note-36" w:history="1">
        <w:r w:rsidRPr="00CF6D50">
          <w:rPr>
            <w:color w:val="000000" w:themeColor="text1"/>
            <w:sz w:val="19"/>
            <w:szCs w:val="19"/>
            <w:vertAlign w:val="superscript"/>
            <w:lang w:val="en"/>
          </w:rPr>
          <w:t>[36]</w:t>
        </w:r>
      </w:hyperlink>
      <w:r w:rsidRPr="00CF6D50">
        <w:rPr>
          <w:color w:val="000000" w:themeColor="text1"/>
          <w:lang w:val="en"/>
        </w:rPr>
        <w:t xml:space="preserve"> Phagocytosis evolved as a means of acquiring </w:t>
      </w:r>
      <w:hyperlink r:id="rId205" w:tooltip="Nutrient" w:history="1">
        <w:r w:rsidRPr="00CF6D50">
          <w:rPr>
            <w:color w:val="000000" w:themeColor="text1"/>
            <w:lang w:val="en"/>
          </w:rPr>
          <w:t>nutrients</w:t>
        </w:r>
      </w:hyperlink>
      <w:r w:rsidRPr="00CF6D50">
        <w:rPr>
          <w:color w:val="000000" w:themeColor="text1"/>
          <w:lang w:val="en"/>
        </w:rPr>
        <w:t>, but this role was extended in phagocytes to include engulfment of pathogens as a defense mechanism.</w:t>
      </w:r>
      <w:hyperlink r:id="rId206" w:anchor="cite_note-37" w:history="1">
        <w:r w:rsidRPr="00CF6D50">
          <w:rPr>
            <w:color w:val="000000" w:themeColor="text1"/>
            <w:sz w:val="19"/>
            <w:szCs w:val="19"/>
            <w:vertAlign w:val="superscript"/>
            <w:lang w:val="en"/>
          </w:rPr>
          <w:t>[37]</w:t>
        </w:r>
      </w:hyperlink>
      <w:r w:rsidRPr="00CF6D50">
        <w:rPr>
          <w:color w:val="000000" w:themeColor="text1"/>
          <w:lang w:val="en"/>
        </w:rPr>
        <w:t xml:space="preserve"> Phagocytosis probably represents the oldest form of host defense, as phagocytes have been identified in both vert</w:t>
      </w:r>
      <w:r w:rsidR="00CF6D50" w:rsidRPr="00CF6D50">
        <w:rPr>
          <w:color w:val="000000" w:themeColor="text1"/>
          <w:lang w:val="en"/>
        </w:rPr>
        <w:t>ebrate and invertebrate animals.</w:t>
      </w:r>
    </w:p>
    <w:p w:rsidR="00CF6D50" w:rsidRPr="00CF6D50" w:rsidRDefault="00CF6D50" w:rsidP="00CF6D50">
      <w:pPr>
        <w:spacing w:after="100" w:afterAutospacing="1" w:line="240" w:lineRule="atLeast"/>
        <w:rPr>
          <w:color w:val="000000" w:themeColor="text1"/>
          <w:lang w:val="en"/>
        </w:rPr>
      </w:pPr>
    </w:p>
    <w:p w:rsidR="00157810" w:rsidRPr="00CF6D50" w:rsidRDefault="00157810" w:rsidP="00CF6D50">
      <w:pPr>
        <w:spacing w:after="100" w:afterAutospacing="1" w:line="240" w:lineRule="atLeast"/>
        <w:outlineLvl w:val="3"/>
        <w:rPr>
          <w:b/>
          <w:bCs/>
          <w:color w:val="000000" w:themeColor="text1"/>
          <w:lang w:val="en"/>
        </w:rPr>
      </w:pPr>
      <w:r w:rsidRPr="00CF6D50">
        <w:rPr>
          <w:b/>
          <w:bCs/>
          <w:color w:val="000000" w:themeColor="text1"/>
          <w:lang w:val="en"/>
        </w:rPr>
        <w:t>Phagocytes</w:t>
      </w:r>
    </w:p>
    <w:p w:rsidR="00157810" w:rsidRPr="00CF6D50" w:rsidRDefault="00585656" w:rsidP="00CF6D50">
      <w:pPr>
        <w:spacing w:after="100" w:afterAutospacing="1" w:line="240" w:lineRule="atLeast"/>
        <w:rPr>
          <w:color w:val="000000" w:themeColor="text1"/>
          <w:lang w:val="en"/>
        </w:rPr>
      </w:pPr>
      <w:hyperlink r:id="rId207" w:tooltip="Neutrophil" w:history="1">
        <w:r w:rsidR="00157810" w:rsidRPr="00CF6D50">
          <w:rPr>
            <w:color w:val="000000" w:themeColor="text1"/>
            <w:lang w:val="en"/>
          </w:rPr>
          <w:t>Neutrophils</w:t>
        </w:r>
      </w:hyperlink>
      <w:r w:rsidR="00157810" w:rsidRPr="00CF6D50">
        <w:rPr>
          <w:color w:val="000000" w:themeColor="text1"/>
          <w:lang w:val="en"/>
        </w:rPr>
        <w:t xml:space="preserve"> and </w:t>
      </w:r>
      <w:hyperlink r:id="rId208" w:tooltip="Macrophage" w:history="1">
        <w:r w:rsidR="00157810" w:rsidRPr="00CF6D50">
          <w:rPr>
            <w:color w:val="000000" w:themeColor="text1"/>
            <w:lang w:val="en"/>
          </w:rPr>
          <w:t>macrophages</w:t>
        </w:r>
      </w:hyperlink>
      <w:r w:rsidR="00157810" w:rsidRPr="00CF6D50">
        <w:rPr>
          <w:color w:val="000000" w:themeColor="text1"/>
          <w:lang w:val="en"/>
        </w:rPr>
        <w:t xml:space="preserve"> are </w:t>
      </w:r>
      <w:hyperlink r:id="rId209" w:tooltip="Phagocyte" w:history="1">
        <w:r w:rsidR="00157810" w:rsidRPr="00CF6D50">
          <w:rPr>
            <w:color w:val="000000" w:themeColor="text1"/>
            <w:lang w:val="en"/>
          </w:rPr>
          <w:t>phagocytes</w:t>
        </w:r>
      </w:hyperlink>
      <w:r w:rsidR="00157810" w:rsidRPr="00CF6D50">
        <w:rPr>
          <w:color w:val="000000" w:themeColor="text1"/>
          <w:lang w:val="en"/>
        </w:rPr>
        <w:t xml:space="preserve"> that travel throughout the body in pursuit of invading pathogens.</w:t>
      </w:r>
      <w:hyperlink r:id="rId210" w:anchor="cite_note-39" w:history="1">
        <w:r w:rsidR="00157810" w:rsidRPr="00CF6D50">
          <w:rPr>
            <w:color w:val="000000" w:themeColor="text1"/>
            <w:sz w:val="19"/>
            <w:szCs w:val="19"/>
            <w:vertAlign w:val="superscript"/>
            <w:lang w:val="en"/>
          </w:rPr>
          <w:t>[39]</w:t>
        </w:r>
      </w:hyperlink>
      <w:r w:rsidR="00157810" w:rsidRPr="00CF6D50">
        <w:rPr>
          <w:color w:val="000000" w:themeColor="text1"/>
          <w:lang w:val="en"/>
        </w:rPr>
        <w:t xml:space="preserve"> Neutrophils are normally found in the </w:t>
      </w:r>
      <w:hyperlink r:id="rId211" w:tooltip="Circulatory system" w:history="1">
        <w:r w:rsidR="00157810" w:rsidRPr="00CF6D50">
          <w:rPr>
            <w:color w:val="000000" w:themeColor="text1"/>
            <w:lang w:val="en"/>
          </w:rPr>
          <w:t>bloodstream</w:t>
        </w:r>
      </w:hyperlink>
      <w:r w:rsidR="00157810" w:rsidRPr="00CF6D50">
        <w:rPr>
          <w:color w:val="000000" w:themeColor="text1"/>
          <w:lang w:val="en"/>
        </w:rPr>
        <w:t xml:space="preserve"> and are the most abundant type of phagocyte, normally representing 50% to 60% of the total circulating leukocytes,</w:t>
      </w:r>
      <w:hyperlink r:id="rId212" w:anchor="cite_note-IandF-40" w:history="1">
        <w:r w:rsidR="00157810" w:rsidRPr="00CF6D50">
          <w:rPr>
            <w:color w:val="000000" w:themeColor="text1"/>
            <w:sz w:val="19"/>
            <w:szCs w:val="19"/>
            <w:vertAlign w:val="superscript"/>
            <w:lang w:val="en"/>
          </w:rPr>
          <w:t>[40]</w:t>
        </w:r>
      </w:hyperlink>
      <w:r w:rsidR="00157810" w:rsidRPr="00CF6D50">
        <w:rPr>
          <w:color w:val="000000" w:themeColor="text1"/>
          <w:lang w:val="en"/>
        </w:rPr>
        <w:t xml:space="preserve"> and consisting of neutrophil-killer and neutrophil-</w:t>
      </w:r>
      <w:proofErr w:type="spellStart"/>
      <w:r w:rsidR="00157810" w:rsidRPr="00CF6D50">
        <w:rPr>
          <w:color w:val="000000" w:themeColor="text1"/>
          <w:lang w:val="en"/>
        </w:rPr>
        <w:t>cager</w:t>
      </w:r>
      <w:proofErr w:type="spellEnd"/>
      <w:r w:rsidR="00157810" w:rsidRPr="00CF6D50">
        <w:rPr>
          <w:color w:val="000000" w:themeColor="text1"/>
          <w:lang w:val="en"/>
        </w:rPr>
        <w:t xml:space="preserve"> </w:t>
      </w:r>
      <w:hyperlink r:id="rId213" w:anchor="Subpopulations" w:tooltip="Neutrophil" w:history="1">
        <w:r w:rsidR="00157810" w:rsidRPr="00CF6D50">
          <w:rPr>
            <w:color w:val="000000" w:themeColor="text1"/>
            <w:lang w:val="en"/>
          </w:rPr>
          <w:t>subpopulations</w:t>
        </w:r>
      </w:hyperlink>
      <w:r w:rsidR="00157810" w:rsidRPr="00CF6D50">
        <w:rPr>
          <w:color w:val="000000" w:themeColor="text1"/>
          <w:lang w:val="en"/>
        </w:rPr>
        <w:t xml:space="preserve">. During the acute phase of inflammation, particularly as a result of bacterial infection, neutrophils migrate toward the site of inflammation in a process called chemotaxis, and are usually the first cells to arrive at the scene of infection. Macrophages are versatile cells that reside within tissues and produce a wide array of chemicals including enzymes, </w:t>
      </w:r>
      <w:hyperlink r:id="rId214" w:tooltip="Complement system" w:history="1">
        <w:r w:rsidR="00157810" w:rsidRPr="00CF6D50">
          <w:rPr>
            <w:color w:val="000000" w:themeColor="text1"/>
            <w:lang w:val="en"/>
          </w:rPr>
          <w:t>complement proteins</w:t>
        </w:r>
      </w:hyperlink>
      <w:r w:rsidR="00157810" w:rsidRPr="00CF6D50">
        <w:rPr>
          <w:color w:val="000000" w:themeColor="text1"/>
          <w:lang w:val="en"/>
        </w:rPr>
        <w:t xml:space="preserve">, and cytokines, while they can also act as scavengers that rid the body of worn-out cells and other debris, and as </w:t>
      </w:r>
      <w:hyperlink r:id="rId215" w:tooltip="Antigen-presenting cell" w:history="1">
        <w:r w:rsidR="00157810" w:rsidRPr="00CF6D50">
          <w:rPr>
            <w:color w:val="000000" w:themeColor="text1"/>
            <w:lang w:val="en"/>
          </w:rPr>
          <w:t>antigen-presenting cells</w:t>
        </w:r>
      </w:hyperlink>
      <w:r w:rsidR="00157810" w:rsidRPr="00CF6D50">
        <w:rPr>
          <w:color w:val="000000" w:themeColor="text1"/>
          <w:lang w:val="en"/>
        </w:rPr>
        <w:t xml:space="preserve"> that activate the adaptive immune system.</w:t>
      </w:r>
      <w:hyperlink r:id="rId216" w:anchor="cite_note-Rua_2015-41" w:history="1">
        <w:r w:rsidR="00157810" w:rsidRPr="00CF6D50">
          <w:rPr>
            <w:color w:val="000000" w:themeColor="text1"/>
            <w:sz w:val="19"/>
            <w:szCs w:val="19"/>
            <w:vertAlign w:val="superscript"/>
            <w:lang w:val="en"/>
          </w:rPr>
          <w:t>[41]</w:t>
        </w:r>
      </w:hyperlink>
      <w:r w:rsidR="00157810" w:rsidRPr="00CF6D50">
        <w:rPr>
          <w:color w:val="000000" w:themeColor="text1"/>
          <w:lang w:val="en"/>
        </w:rPr>
        <w:t xml:space="preserve"> </w:t>
      </w:r>
    </w:p>
    <w:p w:rsidR="00157810" w:rsidRPr="00CF6D50" w:rsidRDefault="00157810" w:rsidP="00CF6D50">
      <w:pPr>
        <w:spacing w:after="100" w:afterAutospacing="1" w:line="240" w:lineRule="atLeast"/>
        <w:outlineLvl w:val="3"/>
        <w:rPr>
          <w:b/>
          <w:bCs/>
          <w:color w:val="000000" w:themeColor="text1"/>
          <w:lang w:val="en"/>
        </w:rPr>
      </w:pPr>
      <w:r w:rsidRPr="00CF6D50">
        <w:rPr>
          <w:b/>
          <w:bCs/>
          <w:color w:val="000000" w:themeColor="text1"/>
          <w:lang w:val="en"/>
        </w:rPr>
        <w:t>Dendritic cells</w:t>
      </w:r>
    </w:p>
    <w:p w:rsidR="00157810" w:rsidRPr="00CF6D50" w:rsidRDefault="00585656" w:rsidP="00CF6D50">
      <w:pPr>
        <w:spacing w:after="100" w:afterAutospacing="1" w:line="240" w:lineRule="atLeast"/>
        <w:rPr>
          <w:color w:val="000000" w:themeColor="text1"/>
          <w:lang w:val="en"/>
        </w:rPr>
      </w:pPr>
      <w:hyperlink r:id="rId217" w:tooltip="Dendritic cell" w:history="1">
        <w:r w:rsidR="00157810" w:rsidRPr="00CF6D50">
          <w:rPr>
            <w:color w:val="000000" w:themeColor="text1"/>
            <w:lang w:val="en"/>
          </w:rPr>
          <w:t>Dendritic cells</w:t>
        </w:r>
      </w:hyperlink>
      <w:r w:rsidR="00157810" w:rsidRPr="00CF6D50">
        <w:rPr>
          <w:color w:val="000000" w:themeColor="text1"/>
          <w:lang w:val="en"/>
        </w:rPr>
        <w:t xml:space="preserve"> (DC) are phagocytes in tissues that are in contact with the external environment; therefore, they are located mainly in the </w:t>
      </w:r>
      <w:hyperlink r:id="rId218" w:tooltip="Human skin" w:history="1">
        <w:r w:rsidR="00157810" w:rsidRPr="00CF6D50">
          <w:rPr>
            <w:color w:val="000000" w:themeColor="text1"/>
            <w:lang w:val="en"/>
          </w:rPr>
          <w:t>skin</w:t>
        </w:r>
      </w:hyperlink>
      <w:r w:rsidR="00157810" w:rsidRPr="00CF6D50">
        <w:rPr>
          <w:color w:val="000000" w:themeColor="text1"/>
          <w:lang w:val="en"/>
        </w:rPr>
        <w:t xml:space="preserve">, </w:t>
      </w:r>
      <w:hyperlink r:id="rId219" w:tooltip="Human nose" w:history="1">
        <w:r w:rsidR="00157810" w:rsidRPr="00CF6D50">
          <w:rPr>
            <w:color w:val="000000" w:themeColor="text1"/>
            <w:lang w:val="en"/>
          </w:rPr>
          <w:t>nose</w:t>
        </w:r>
      </w:hyperlink>
      <w:r w:rsidR="00157810" w:rsidRPr="00CF6D50">
        <w:rPr>
          <w:color w:val="000000" w:themeColor="text1"/>
          <w:lang w:val="en"/>
        </w:rPr>
        <w:t>, lungs, stomach, and intestines.</w:t>
      </w:r>
      <w:hyperlink r:id="rId220" w:anchor="cite_note-Guermonprez-42" w:history="1">
        <w:r w:rsidR="00157810" w:rsidRPr="00CF6D50">
          <w:rPr>
            <w:color w:val="000000" w:themeColor="text1"/>
            <w:sz w:val="19"/>
            <w:szCs w:val="19"/>
            <w:vertAlign w:val="superscript"/>
            <w:lang w:val="en"/>
          </w:rPr>
          <w:t>[42]</w:t>
        </w:r>
      </w:hyperlink>
      <w:r w:rsidR="00157810" w:rsidRPr="00CF6D50">
        <w:rPr>
          <w:color w:val="000000" w:themeColor="text1"/>
          <w:lang w:val="en"/>
        </w:rPr>
        <w:t xml:space="preserve"> They are named for their resemblance to </w:t>
      </w:r>
      <w:hyperlink r:id="rId221" w:tooltip="Neuron" w:history="1">
        <w:r w:rsidR="00157810" w:rsidRPr="00CF6D50">
          <w:rPr>
            <w:color w:val="000000" w:themeColor="text1"/>
            <w:lang w:val="en"/>
          </w:rPr>
          <w:t>neuronal</w:t>
        </w:r>
      </w:hyperlink>
      <w:r w:rsidR="00157810" w:rsidRPr="00CF6D50">
        <w:rPr>
          <w:color w:val="000000" w:themeColor="text1"/>
          <w:lang w:val="en"/>
        </w:rPr>
        <w:t xml:space="preserve"> </w:t>
      </w:r>
      <w:hyperlink r:id="rId222" w:tooltip="Dendrite" w:history="1">
        <w:r w:rsidR="00157810" w:rsidRPr="00CF6D50">
          <w:rPr>
            <w:color w:val="000000" w:themeColor="text1"/>
            <w:lang w:val="en"/>
          </w:rPr>
          <w:t>dendrites</w:t>
        </w:r>
      </w:hyperlink>
      <w:r w:rsidR="00157810" w:rsidRPr="00CF6D50">
        <w:rPr>
          <w:color w:val="000000" w:themeColor="text1"/>
          <w:lang w:val="en"/>
        </w:rPr>
        <w:t xml:space="preserve">, as both have many spine-like projections, but dendritic cells are in no way connected to the </w:t>
      </w:r>
      <w:hyperlink r:id="rId223" w:tooltip="Nervous system" w:history="1">
        <w:r w:rsidR="00157810" w:rsidRPr="00CF6D50">
          <w:rPr>
            <w:color w:val="000000" w:themeColor="text1"/>
            <w:lang w:val="en"/>
          </w:rPr>
          <w:t>nervous system</w:t>
        </w:r>
      </w:hyperlink>
      <w:r w:rsidR="00157810" w:rsidRPr="00CF6D50">
        <w:rPr>
          <w:color w:val="000000" w:themeColor="text1"/>
          <w:lang w:val="en"/>
        </w:rPr>
        <w:t xml:space="preserve">. Dendritic cells serve as a link between the bodily tissues and the innate and adaptive immune systems, as they </w:t>
      </w:r>
      <w:hyperlink r:id="rId224" w:tooltip="Antigen presentation" w:history="1">
        <w:r w:rsidR="00157810" w:rsidRPr="00CF6D50">
          <w:rPr>
            <w:color w:val="000000" w:themeColor="text1"/>
            <w:lang w:val="en"/>
          </w:rPr>
          <w:t>present antigens</w:t>
        </w:r>
      </w:hyperlink>
      <w:r w:rsidR="00157810" w:rsidRPr="00CF6D50">
        <w:rPr>
          <w:color w:val="000000" w:themeColor="text1"/>
          <w:lang w:val="en"/>
        </w:rPr>
        <w:t xml:space="preserve"> to </w:t>
      </w:r>
      <w:hyperlink r:id="rId225" w:tooltip="T cell" w:history="1">
        <w:r w:rsidR="00157810" w:rsidRPr="00CF6D50">
          <w:rPr>
            <w:color w:val="000000" w:themeColor="text1"/>
            <w:lang w:val="en"/>
          </w:rPr>
          <w:t>T cells</w:t>
        </w:r>
      </w:hyperlink>
      <w:r w:rsidR="00157810" w:rsidRPr="00CF6D50">
        <w:rPr>
          <w:color w:val="000000" w:themeColor="text1"/>
          <w:lang w:val="en"/>
        </w:rPr>
        <w:t>, one of the key cell types of the adaptive immune system.</w:t>
      </w:r>
      <w:hyperlink r:id="rId226" w:anchor="cite_note-Guermonprez-42" w:history="1">
        <w:r w:rsidR="00157810" w:rsidRPr="00CF6D50">
          <w:rPr>
            <w:color w:val="000000" w:themeColor="text1"/>
            <w:sz w:val="19"/>
            <w:szCs w:val="19"/>
            <w:vertAlign w:val="superscript"/>
            <w:lang w:val="en"/>
          </w:rPr>
          <w:t>[42]</w:t>
        </w:r>
      </w:hyperlink>
      <w:r w:rsidR="00157810" w:rsidRPr="00CF6D50">
        <w:rPr>
          <w:color w:val="000000" w:themeColor="text1"/>
          <w:lang w:val="en"/>
        </w:rPr>
        <w:t xml:space="preserve"> </w:t>
      </w:r>
    </w:p>
    <w:p w:rsidR="00157810" w:rsidRPr="00CF6D50" w:rsidRDefault="00157810" w:rsidP="00CF6D50">
      <w:pPr>
        <w:spacing w:after="100" w:afterAutospacing="1" w:line="240" w:lineRule="atLeast"/>
        <w:outlineLvl w:val="3"/>
        <w:rPr>
          <w:b/>
          <w:bCs/>
          <w:color w:val="000000" w:themeColor="text1"/>
          <w:lang w:val="en"/>
        </w:rPr>
      </w:pPr>
      <w:r w:rsidRPr="00CF6D50">
        <w:rPr>
          <w:b/>
          <w:bCs/>
          <w:color w:val="000000" w:themeColor="text1"/>
          <w:lang w:val="en"/>
        </w:rPr>
        <w:t>Granulocytes</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Granulocytes are leukocytes that have granules in their cytoplasm. In this category are neutrophils, mast cells, basophils, and eosinophils. </w:t>
      </w:r>
      <w:hyperlink r:id="rId227" w:tooltip="Mast cell" w:history="1">
        <w:r w:rsidRPr="00CF6D50">
          <w:rPr>
            <w:color w:val="000000" w:themeColor="text1"/>
            <w:lang w:val="en"/>
          </w:rPr>
          <w:t>Mast cells</w:t>
        </w:r>
      </w:hyperlink>
      <w:r w:rsidRPr="00CF6D50">
        <w:rPr>
          <w:color w:val="000000" w:themeColor="text1"/>
          <w:lang w:val="en"/>
        </w:rPr>
        <w:t xml:space="preserve"> reside in </w:t>
      </w:r>
      <w:hyperlink r:id="rId228" w:tooltip="Connective tissue" w:history="1">
        <w:r w:rsidRPr="00CF6D50">
          <w:rPr>
            <w:color w:val="000000" w:themeColor="text1"/>
            <w:lang w:val="en"/>
          </w:rPr>
          <w:t>connective tissues</w:t>
        </w:r>
      </w:hyperlink>
      <w:r w:rsidRPr="00CF6D50">
        <w:rPr>
          <w:color w:val="000000" w:themeColor="text1"/>
          <w:lang w:val="en"/>
        </w:rPr>
        <w:t xml:space="preserve"> and </w:t>
      </w:r>
      <w:hyperlink r:id="rId229" w:tooltip="Mucous membrane" w:history="1">
        <w:r w:rsidRPr="00CF6D50">
          <w:rPr>
            <w:color w:val="000000" w:themeColor="text1"/>
            <w:lang w:val="en"/>
          </w:rPr>
          <w:t>mucous membranes</w:t>
        </w:r>
      </w:hyperlink>
      <w:r w:rsidRPr="00CF6D50">
        <w:rPr>
          <w:color w:val="000000" w:themeColor="text1"/>
          <w:lang w:val="en"/>
        </w:rPr>
        <w:t>, and regulate the inflammatory response.</w:t>
      </w:r>
      <w:hyperlink r:id="rId230" w:anchor="cite_note-43" w:history="1">
        <w:r w:rsidRPr="00CF6D50">
          <w:rPr>
            <w:color w:val="000000" w:themeColor="text1"/>
            <w:sz w:val="19"/>
            <w:szCs w:val="19"/>
            <w:vertAlign w:val="superscript"/>
            <w:lang w:val="en"/>
          </w:rPr>
          <w:t>[43]</w:t>
        </w:r>
      </w:hyperlink>
      <w:r w:rsidRPr="00CF6D50">
        <w:rPr>
          <w:color w:val="000000" w:themeColor="text1"/>
          <w:lang w:val="en"/>
        </w:rPr>
        <w:t xml:space="preserve"> They are most often associated with </w:t>
      </w:r>
      <w:hyperlink r:id="rId231" w:tooltip="Allergy" w:history="1">
        <w:r w:rsidRPr="00CF6D50">
          <w:rPr>
            <w:color w:val="000000" w:themeColor="text1"/>
            <w:lang w:val="en"/>
          </w:rPr>
          <w:t>allergy</w:t>
        </w:r>
      </w:hyperlink>
      <w:r w:rsidRPr="00CF6D50">
        <w:rPr>
          <w:color w:val="000000" w:themeColor="text1"/>
          <w:lang w:val="en"/>
        </w:rPr>
        <w:t xml:space="preserve"> and </w:t>
      </w:r>
      <w:hyperlink r:id="rId232" w:tooltip="Anaphylaxis" w:history="1">
        <w:r w:rsidRPr="00CF6D50">
          <w:rPr>
            <w:color w:val="000000" w:themeColor="text1"/>
            <w:lang w:val="en"/>
          </w:rPr>
          <w:t>anaphylaxis</w:t>
        </w:r>
      </w:hyperlink>
      <w:r w:rsidRPr="00CF6D50">
        <w:rPr>
          <w:color w:val="000000" w:themeColor="text1"/>
          <w:lang w:val="en"/>
        </w:rPr>
        <w:t>.</w:t>
      </w:r>
      <w:hyperlink r:id="rId233" w:anchor="cite_note-IandF-40" w:history="1">
        <w:r w:rsidRPr="00CF6D50">
          <w:rPr>
            <w:color w:val="000000" w:themeColor="text1"/>
            <w:sz w:val="19"/>
            <w:szCs w:val="19"/>
            <w:vertAlign w:val="superscript"/>
            <w:lang w:val="en"/>
          </w:rPr>
          <w:t>[40]</w:t>
        </w:r>
      </w:hyperlink>
      <w:r w:rsidRPr="00CF6D50">
        <w:rPr>
          <w:color w:val="000000" w:themeColor="text1"/>
          <w:lang w:val="en"/>
        </w:rPr>
        <w:t xml:space="preserve"> </w:t>
      </w:r>
      <w:hyperlink r:id="rId234" w:tooltip="Basophil" w:history="1">
        <w:r w:rsidRPr="00CF6D50">
          <w:rPr>
            <w:color w:val="000000" w:themeColor="text1"/>
            <w:lang w:val="en"/>
          </w:rPr>
          <w:t>Basophils</w:t>
        </w:r>
      </w:hyperlink>
      <w:r w:rsidRPr="00CF6D50">
        <w:rPr>
          <w:color w:val="000000" w:themeColor="text1"/>
          <w:lang w:val="en"/>
        </w:rPr>
        <w:t xml:space="preserve"> and </w:t>
      </w:r>
      <w:hyperlink r:id="rId235" w:tooltip="Eosinophil" w:history="1">
        <w:r w:rsidRPr="00CF6D50">
          <w:rPr>
            <w:color w:val="000000" w:themeColor="text1"/>
            <w:lang w:val="en"/>
          </w:rPr>
          <w:t>eosinophils</w:t>
        </w:r>
      </w:hyperlink>
      <w:r w:rsidRPr="00CF6D50">
        <w:rPr>
          <w:color w:val="000000" w:themeColor="text1"/>
          <w:lang w:val="en"/>
        </w:rPr>
        <w:t xml:space="preserve"> are related to neutrophils. They secrete chemical mediators that are involved in defending against </w:t>
      </w:r>
      <w:hyperlink r:id="rId236" w:tooltip="Parasitism" w:history="1">
        <w:r w:rsidRPr="00CF6D50">
          <w:rPr>
            <w:color w:val="000000" w:themeColor="text1"/>
            <w:lang w:val="en"/>
          </w:rPr>
          <w:t>parasites</w:t>
        </w:r>
      </w:hyperlink>
      <w:r w:rsidRPr="00CF6D50">
        <w:rPr>
          <w:color w:val="000000" w:themeColor="text1"/>
          <w:lang w:val="en"/>
        </w:rPr>
        <w:t xml:space="preserve"> and play a role in allergic reactions, such as </w:t>
      </w:r>
      <w:hyperlink r:id="rId237" w:tooltip="Asthma" w:history="1">
        <w:r w:rsidRPr="00CF6D50">
          <w:rPr>
            <w:color w:val="000000" w:themeColor="text1"/>
            <w:lang w:val="en"/>
          </w:rPr>
          <w:t>asthma</w:t>
        </w:r>
      </w:hyperlink>
      <w:r w:rsidRPr="00CF6D50">
        <w:rPr>
          <w:color w:val="000000" w:themeColor="text1"/>
          <w:lang w:val="en"/>
        </w:rPr>
        <w:t>.</w:t>
      </w:r>
      <w:hyperlink r:id="rId238" w:anchor="cite_note-44" w:history="1">
        <w:r w:rsidRPr="00CF6D50">
          <w:rPr>
            <w:color w:val="000000" w:themeColor="text1"/>
            <w:sz w:val="19"/>
            <w:szCs w:val="19"/>
            <w:vertAlign w:val="superscript"/>
            <w:lang w:val="en"/>
          </w:rPr>
          <w:t>[44]</w:t>
        </w:r>
      </w:hyperlink>
      <w:r w:rsidRPr="00CF6D50">
        <w:rPr>
          <w:color w:val="000000" w:themeColor="text1"/>
          <w:lang w:val="en"/>
        </w:rPr>
        <w:t xml:space="preserve"> </w:t>
      </w:r>
    </w:p>
    <w:p w:rsidR="00157810" w:rsidRPr="00CF6D50" w:rsidRDefault="00157810" w:rsidP="00CF6D50">
      <w:pPr>
        <w:spacing w:after="100" w:afterAutospacing="1" w:line="240" w:lineRule="atLeast"/>
        <w:outlineLvl w:val="3"/>
        <w:rPr>
          <w:b/>
          <w:bCs/>
          <w:color w:val="000000" w:themeColor="text1"/>
          <w:lang w:val="en"/>
        </w:rPr>
      </w:pPr>
      <w:r w:rsidRPr="00CF6D50">
        <w:rPr>
          <w:b/>
          <w:bCs/>
          <w:color w:val="000000" w:themeColor="text1"/>
          <w:lang w:val="en"/>
        </w:rPr>
        <w:t>Innate lymphoid cells</w:t>
      </w:r>
    </w:p>
    <w:p w:rsidR="00157810" w:rsidRPr="00CF6D50" w:rsidRDefault="00585656" w:rsidP="00CF6D50">
      <w:pPr>
        <w:spacing w:after="100" w:afterAutospacing="1" w:line="240" w:lineRule="atLeast"/>
        <w:rPr>
          <w:color w:val="000000" w:themeColor="text1"/>
          <w:lang w:val="en"/>
        </w:rPr>
      </w:pPr>
      <w:hyperlink r:id="rId239" w:tooltip="Innate lymphoid cell" w:history="1">
        <w:r w:rsidR="00157810" w:rsidRPr="00CF6D50">
          <w:rPr>
            <w:color w:val="000000" w:themeColor="text1"/>
            <w:lang w:val="en"/>
          </w:rPr>
          <w:t>Innate lymphoid cells</w:t>
        </w:r>
      </w:hyperlink>
      <w:r w:rsidR="00157810" w:rsidRPr="00CF6D50">
        <w:rPr>
          <w:color w:val="000000" w:themeColor="text1"/>
          <w:lang w:val="en"/>
        </w:rPr>
        <w:t xml:space="preserve"> (ILCs) are a group of </w:t>
      </w:r>
      <w:hyperlink r:id="rId240" w:tooltip="Innate immune system" w:history="1">
        <w:r w:rsidR="00157810" w:rsidRPr="00CF6D50">
          <w:rPr>
            <w:color w:val="000000" w:themeColor="text1"/>
            <w:lang w:val="en"/>
          </w:rPr>
          <w:t>innate immune</w:t>
        </w:r>
      </w:hyperlink>
      <w:r w:rsidR="00157810" w:rsidRPr="00CF6D50">
        <w:rPr>
          <w:color w:val="000000" w:themeColor="text1"/>
          <w:lang w:val="en"/>
        </w:rPr>
        <w:t xml:space="preserve"> cells that are derived from </w:t>
      </w:r>
      <w:hyperlink r:id="rId241" w:tooltip="Common lymphoid progenitor" w:history="1">
        <w:r w:rsidR="00157810" w:rsidRPr="00CF6D50">
          <w:rPr>
            <w:color w:val="000000" w:themeColor="text1"/>
            <w:lang w:val="en"/>
          </w:rPr>
          <w:t>common lymphoid progenitor</w:t>
        </w:r>
      </w:hyperlink>
      <w:r w:rsidR="00157810" w:rsidRPr="00CF6D50">
        <w:rPr>
          <w:color w:val="000000" w:themeColor="text1"/>
          <w:lang w:val="en"/>
        </w:rPr>
        <w:t xml:space="preserve"> (CLP) and belong to the </w:t>
      </w:r>
      <w:hyperlink r:id="rId242" w:tooltip="Lymphopoiesis" w:history="1">
        <w:r w:rsidR="00157810" w:rsidRPr="00CF6D50">
          <w:rPr>
            <w:color w:val="000000" w:themeColor="text1"/>
            <w:lang w:val="en"/>
          </w:rPr>
          <w:t>lymphoid lineage</w:t>
        </w:r>
      </w:hyperlink>
      <w:r w:rsidR="00157810" w:rsidRPr="00CF6D50">
        <w:rPr>
          <w:color w:val="000000" w:themeColor="text1"/>
          <w:lang w:val="en"/>
        </w:rPr>
        <w:t xml:space="preserve">. These cells are defined by absence of antigen specific </w:t>
      </w:r>
      <w:hyperlink r:id="rId243" w:tooltip="B-cell receptor" w:history="1">
        <w:r w:rsidR="00157810" w:rsidRPr="00CF6D50">
          <w:rPr>
            <w:color w:val="000000" w:themeColor="text1"/>
            <w:lang w:val="en"/>
          </w:rPr>
          <w:t>B</w:t>
        </w:r>
      </w:hyperlink>
      <w:r w:rsidR="00157810" w:rsidRPr="00CF6D50">
        <w:rPr>
          <w:color w:val="000000" w:themeColor="text1"/>
          <w:lang w:val="en"/>
        </w:rPr>
        <w:t xml:space="preserve"> or </w:t>
      </w:r>
      <w:hyperlink r:id="rId244" w:tooltip="T-cell receptor" w:history="1">
        <w:r w:rsidR="00157810" w:rsidRPr="00CF6D50">
          <w:rPr>
            <w:color w:val="000000" w:themeColor="text1"/>
            <w:lang w:val="en"/>
          </w:rPr>
          <w:t>T cell receptor</w:t>
        </w:r>
      </w:hyperlink>
      <w:r w:rsidR="00157810" w:rsidRPr="00CF6D50">
        <w:rPr>
          <w:color w:val="000000" w:themeColor="text1"/>
          <w:lang w:val="en"/>
        </w:rPr>
        <w:t xml:space="preserve"> because of the lack of </w:t>
      </w:r>
      <w:hyperlink r:id="rId245" w:tooltip="Recombination activating gene" w:history="1">
        <w:r w:rsidR="00157810" w:rsidRPr="00CF6D50">
          <w:rPr>
            <w:color w:val="000000" w:themeColor="text1"/>
            <w:lang w:val="en"/>
          </w:rPr>
          <w:t>recombination activating gene</w:t>
        </w:r>
      </w:hyperlink>
      <w:r w:rsidR="00157810" w:rsidRPr="00CF6D50">
        <w:rPr>
          <w:color w:val="000000" w:themeColor="text1"/>
          <w:lang w:val="en"/>
        </w:rPr>
        <w:t xml:space="preserve"> (RAG). ILCs do not express myeloid or dendritic cell markers.</w:t>
      </w:r>
      <w:hyperlink r:id="rId246" w:anchor="cite_note-45" w:history="1">
        <w:r w:rsidR="00157810" w:rsidRPr="00CF6D50">
          <w:rPr>
            <w:color w:val="000000" w:themeColor="text1"/>
            <w:sz w:val="19"/>
            <w:szCs w:val="19"/>
            <w:vertAlign w:val="superscript"/>
            <w:lang w:val="en"/>
          </w:rPr>
          <w:t>[45]</w:t>
        </w:r>
      </w:hyperlink>
      <w:r w:rsidR="00157810" w:rsidRPr="00CF6D50">
        <w:rPr>
          <w:color w:val="000000" w:themeColor="text1"/>
          <w:lang w:val="en"/>
        </w:rPr>
        <w:t xml:space="preserve"> </w:t>
      </w:r>
    </w:p>
    <w:p w:rsidR="00157810" w:rsidRPr="00CF6D50" w:rsidRDefault="00585656" w:rsidP="00CF6D50">
      <w:pPr>
        <w:spacing w:after="100" w:afterAutospacing="1" w:line="240" w:lineRule="atLeast"/>
        <w:rPr>
          <w:color w:val="000000" w:themeColor="text1"/>
          <w:lang w:val="en"/>
        </w:rPr>
      </w:pPr>
      <w:hyperlink r:id="rId247" w:tooltip="Natural killer cells" w:history="1">
        <w:r w:rsidR="00157810" w:rsidRPr="00CF6D50">
          <w:rPr>
            <w:color w:val="000000" w:themeColor="text1"/>
            <w:lang w:val="en"/>
          </w:rPr>
          <w:t>Natural killer cells</w:t>
        </w:r>
      </w:hyperlink>
      <w:r w:rsidR="00157810" w:rsidRPr="00CF6D50">
        <w:rPr>
          <w:color w:val="000000" w:themeColor="text1"/>
          <w:lang w:val="en"/>
        </w:rPr>
        <w:t>, one of member ILCs, are lymphocytes and a component of the innate immune system which does not directly attack invading microbes.</w:t>
      </w:r>
      <w:hyperlink r:id="rId248" w:anchor="cite_note-pmid28078307-46" w:history="1">
        <w:r w:rsidR="00157810" w:rsidRPr="00CF6D50">
          <w:rPr>
            <w:color w:val="000000" w:themeColor="text1"/>
            <w:sz w:val="19"/>
            <w:szCs w:val="19"/>
            <w:vertAlign w:val="superscript"/>
            <w:lang w:val="en"/>
          </w:rPr>
          <w:t>[46]</w:t>
        </w:r>
      </w:hyperlink>
      <w:r w:rsidR="00157810" w:rsidRPr="00CF6D50">
        <w:rPr>
          <w:color w:val="000000" w:themeColor="text1"/>
          <w:lang w:val="en"/>
        </w:rPr>
        <w:t xml:space="preserve"> Rather, NK cells destroy compromised host cells, such as tumor cells or virus-infected cells, recognizing such cells by a condition known as "missing self." This term describes cells with low levels of a cell-surface marker called MHC I (</w:t>
      </w:r>
      <w:hyperlink r:id="rId249" w:tooltip="Major histocompatibility complex" w:history="1">
        <w:r w:rsidR="00157810" w:rsidRPr="00CF6D50">
          <w:rPr>
            <w:color w:val="000000" w:themeColor="text1"/>
            <w:lang w:val="en"/>
          </w:rPr>
          <w:t>major histocompatibility complex</w:t>
        </w:r>
      </w:hyperlink>
      <w:r w:rsidR="00157810" w:rsidRPr="00CF6D50">
        <w:rPr>
          <w:color w:val="000000" w:themeColor="text1"/>
          <w:lang w:val="en"/>
        </w:rPr>
        <w:t>)—a situation that can arise in viral infections of host cells.</w:t>
      </w:r>
      <w:hyperlink r:id="rId250" w:anchor="cite_note-Janeway6-33" w:history="1">
        <w:r w:rsidR="00157810" w:rsidRPr="00CF6D50">
          <w:rPr>
            <w:color w:val="000000" w:themeColor="text1"/>
            <w:sz w:val="19"/>
            <w:szCs w:val="19"/>
            <w:vertAlign w:val="superscript"/>
            <w:lang w:val="en"/>
          </w:rPr>
          <w:t>[33]</w:t>
        </w:r>
      </w:hyperlink>
      <w:r w:rsidR="00157810" w:rsidRPr="00CF6D50">
        <w:rPr>
          <w:color w:val="000000" w:themeColor="text1"/>
          <w:lang w:val="en"/>
        </w:rPr>
        <w:t xml:space="preserve"> They were named "natural killer" because of the initial notion that they do not require activation in order to kill cells that are "missing self." For many years it was unclear how NK cells recognize tumor cells and infected cells. It is now known that the MHC makeup on the surface of those cells is altered and the NK cells become activated through recognition of "missing self". Normal body cells are not recognized and attacked by NK cells </w:t>
      </w:r>
      <w:r w:rsidR="00157810" w:rsidRPr="00CF6D50">
        <w:rPr>
          <w:color w:val="000000" w:themeColor="text1"/>
          <w:lang w:val="en"/>
        </w:rPr>
        <w:lastRenderedPageBreak/>
        <w:t>because they express intact self MHC antigens. Those MHC antigens are recognized by killer cell immunoglobulin receptors (KIR) which essentially put the brakes on NK cells.</w:t>
      </w:r>
      <w:hyperlink r:id="rId251" w:anchor="cite_note-pmid22665247-47" w:history="1">
        <w:r w:rsidR="00157810" w:rsidRPr="00CF6D50">
          <w:rPr>
            <w:color w:val="000000" w:themeColor="text1"/>
            <w:sz w:val="19"/>
            <w:szCs w:val="19"/>
            <w:vertAlign w:val="superscript"/>
            <w:lang w:val="en"/>
          </w:rPr>
          <w:t>[47]</w:t>
        </w:r>
      </w:hyperlink>
      <w:r w:rsidR="00157810" w:rsidRPr="00CF6D50">
        <w:rPr>
          <w:color w:val="000000" w:themeColor="text1"/>
          <w:lang w:val="en"/>
        </w:rPr>
        <w:t xml:space="preserve"> </w:t>
      </w:r>
    </w:p>
    <w:p w:rsidR="00157810" w:rsidRPr="00CF6D50" w:rsidRDefault="00157810" w:rsidP="00CF6D50">
      <w:pPr>
        <w:spacing w:after="100" w:afterAutospacing="1" w:line="240" w:lineRule="atLeast"/>
        <w:outlineLvl w:val="2"/>
        <w:rPr>
          <w:b/>
          <w:bCs/>
          <w:color w:val="000000" w:themeColor="text1"/>
          <w:sz w:val="27"/>
          <w:szCs w:val="27"/>
          <w:lang w:val="en"/>
        </w:rPr>
      </w:pPr>
      <w:r w:rsidRPr="00CF6D50">
        <w:rPr>
          <w:b/>
          <w:bCs/>
          <w:color w:val="000000" w:themeColor="text1"/>
          <w:sz w:val="27"/>
          <w:szCs w:val="27"/>
          <w:lang w:val="en"/>
        </w:rPr>
        <w:t>Inflammation</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Inflammation is one of the first responses of the immune system to infection.</w:t>
      </w:r>
      <w:hyperlink r:id="rId252" w:anchor="cite_note-autogenerated2-48" w:history="1">
        <w:r w:rsidRPr="00CF6D50">
          <w:rPr>
            <w:color w:val="000000" w:themeColor="text1"/>
            <w:sz w:val="19"/>
            <w:szCs w:val="19"/>
            <w:vertAlign w:val="superscript"/>
            <w:lang w:val="en"/>
          </w:rPr>
          <w:t>[48]</w:t>
        </w:r>
      </w:hyperlink>
      <w:r w:rsidRPr="00CF6D50">
        <w:rPr>
          <w:color w:val="000000" w:themeColor="text1"/>
          <w:lang w:val="en"/>
        </w:rPr>
        <w:t xml:space="preserve"> The symptoms of inflammation are redness, swelling, heat, and pain, which are caused by increased </w:t>
      </w:r>
      <w:hyperlink r:id="rId253" w:tooltip="Blood" w:history="1">
        <w:r w:rsidRPr="00CF6D50">
          <w:rPr>
            <w:color w:val="000000" w:themeColor="text1"/>
            <w:lang w:val="en"/>
          </w:rPr>
          <w:t>blood</w:t>
        </w:r>
      </w:hyperlink>
      <w:r w:rsidRPr="00CF6D50">
        <w:rPr>
          <w:color w:val="000000" w:themeColor="text1"/>
          <w:lang w:val="en"/>
        </w:rPr>
        <w:t xml:space="preserve"> flow into tissue. Inflammation is produced by </w:t>
      </w:r>
      <w:hyperlink r:id="rId254" w:tooltip="Eicosanoid" w:history="1">
        <w:r w:rsidRPr="00CF6D50">
          <w:rPr>
            <w:color w:val="000000" w:themeColor="text1"/>
            <w:lang w:val="en"/>
          </w:rPr>
          <w:t>eicosanoids</w:t>
        </w:r>
      </w:hyperlink>
      <w:r w:rsidRPr="00CF6D50">
        <w:rPr>
          <w:color w:val="000000" w:themeColor="text1"/>
          <w:lang w:val="en"/>
        </w:rPr>
        <w:t xml:space="preserve"> and </w:t>
      </w:r>
      <w:hyperlink r:id="rId255" w:tooltip="Cytokine" w:history="1">
        <w:r w:rsidRPr="00CF6D50">
          <w:rPr>
            <w:color w:val="000000" w:themeColor="text1"/>
            <w:lang w:val="en"/>
          </w:rPr>
          <w:t>cytokines</w:t>
        </w:r>
      </w:hyperlink>
      <w:r w:rsidRPr="00CF6D50">
        <w:rPr>
          <w:color w:val="000000" w:themeColor="text1"/>
          <w:lang w:val="en"/>
        </w:rPr>
        <w:t xml:space="preserve">, which are released by injured or infected cells. Eicosanoids include </w:t>
      </w:r>
      <w:hyperlink r:id="rId256" w:tooltip="Prostaglandin" w:history="1">
        <w:r w:rsidRPr="00CF6D50">
          <w:rPr>
            <w:color w:val="000000" w:themeColor="text1"/>
            <w:lang w:val="en"/>
          </w:rPr>
          <w:t>prostaglandins</w:t>
        </w:r>
      </w:hyperlink>
      <w:r w:rsidRPr="00CF6D50">
        <w:rPr>
          <w:color w:val="000000" w:themeColor="text1"/>
          <w:lang w:val="en"/>
        </w:rPr>
        <w:t xml:space="preserve"> that produce </w:t>
      </w:r>
      <w:hyperlink r:id="rId257" w:tooltip="Fever" w:history="1">
        <w:r w:rsidRPr="00CF6D50">
          <w:rPr>
            <w:color w:val="000000" w:themeColor="text1"/>
            <w:lang w:val="en"/>
          </w:rPr>
          <w:t>fever</w:t>
        </w:r>
      </w:hyperlink>
      <w:r w:rsidRPr="00CF6D50">
        <w:rPr>
          <w:color w:val="000000" w:themeColor="text1"/>
          <w:lang w:val="en"/>
        </w:rPr>
        <w:t xml:space="preserve"> and the </w:t>
      </w:r>
      <w:hyperlink r:id="rId258" w:tooltip="Vasodilator" w:history="1">
        <w:r w:rsidRPr="00CF6D50">
          <w:rPr>
            <w:color w:val="000000" w:themeColor="text1"/>
            <w:lang w:val="en"/>
          </w:rPr>
          <w:t>dilation</w:t>
        </w:r>
      </w:hyperlink>
      <w:r w:rsidRPr="00CF6D50">
        <w:rPr>
          <w:color w:val="000000" w:themeColor="text1"/>
          <w:lang w:val="en"/>
        </w:rPr>
        <w:t xml:space="preserve"> of </w:t>
      </w:r>
      <w:hyperlink r:id="rId259" w:tooltip="Blood vessel" w:history="1">
        <w:r w:rsidRPr="00CF6D50">
          <w:rPr>
            <w:color w:val="000000" w:themeColor="text1"/>
            <w:lang w:val="en"/>
          </w:rPr>
          <w:t>blood vessels</w:t>
        </w:r>
      </w:hyperlink>
      <w:r w:rsidRPr="00CF6D50">
        <w:rPr>
          <w:color w:val="000000" w:themeColor="text1"/>
          <w:lang w:val="en"/>
        </w:rPr>
        <w:t xml:space="preserve"> associated with inflammation, and </w:t>
      </w:r>
      <w:hyperlink r:id="rId260" w:tooltip="Leukotriene" w:history="1">
        <w:r w:rsidRPr="00CF6D50">
          <w:rPr>
            <w:color w:val="000000" w:themeColor="text1"/>
            <w:lang w:val="en"/>
          </w:rPr>
          <w:t>leukotrienes</w:t>
        </w:r>
      </w:hyperlink>
      <w:r w:rsidRPr="00CF6D50">
        <w:rPr>
          <w:color w:val="000000" w:themeColor="text1"/>
          <w:lang w:val="en"/>
        </w:rPr>
        <w:t xml:space="preserve"> that attract certain </w:t>
      </w:r>
      <w:hyperlink r:id="rId261" w:tooltip="White blood cell" w:history="1">
        <w:r w:rsidRPr="00CF6D50">
          <w:rPr>
            <w:color w:val="000000" w:themeColor="text1"/>
            <w:lang w:val="en"/>
          </w:rPr>
          <w:t>white blood cells</w:t>
        </w:r>
      </w:hyperlink>
      <w:r w:rsidRPr="00CF6D50">
        <w:rPr>
          <w:color w:val="000000" w:themeColor="text1"/>
          <w:lang w:val="en"/>
        </w:rPr>
        <w:t xml:space="preserve"> (leukocytes).</w:t>
      </w:r>
      <w:hyperlink r:id="rId262" w:anchor="cite_note-autogenerated4-49" w:history="1">
        <w:r w:rsidRPr="00CF6D50">
          <w:rPr>
            <w:color w:val="000000" w:themeColor="text1"/>
            <w:sz w:val="19"/>
            <w:szCs w:val="19"/>
            <w:vertAlign w:val="superscript"/>
            <w:lang w:val="en"/>
          </w:rPr>
          <w:t>[49]</w:t>
        </w:r>
      </w:hyperlink>
      <w:hyperlink r:id="rId263" w:anchor="cite_note-autogenerated1-50" w:history="1">
        <w:r w:rsidRPr="00CF6D50">
          <w:rPr>
            <w:color w:val="000000" w:themeColor="text1"/>
            <w:sz w:val="19"/>
            <w:szCs w:val="19"/>
            <w:vertAlign w:val="superscript"/>
            <w:lang w:val="en"/>
          </w:rPr>
          <w:t>[50]</w:t>
        </w:r>
      </w:hyperlink>
      <w:r w:rsidRPr="00CF6D50">
        <w:rPr>
          <w:color w:val="000000" w:themeColor="text1"/>
          <w:lang w:val="en"/>
        </w:rPr>
        <w:t xml:space="preserve"> Common cytokines include </w:t>
      </w:r>
      <w:hyperlink r:id="rId264" w:tooltip="Interleukin" w:history="1">
        <w:r w:rsidRPr="00CF6D50">
          <w:rPr>
            <w:color w:val="000000" w:themeColor="text1"/>
            <w:lang w:val="en"/>
          </w:rPr>
          <w:t>interleukins</w:t>
        </w:r>
      </w:hyperlink>
      <w:r w:rsidRPr="00CF6D50">
        <w:rPr>
          <w:color w:val="000000" w:themeColor="text1"/>
          <w:lang w:val="en"/>
        </w:rPr>
        <w:t xml:space="preserve"> that are responsible for communication between white blood cells; </w:t>
      </w:r>
      <w:hyperlink r:id="rId265" w:tooltip="Chemokine" w:history="1">
        <w:r w:rsidRPr="00CF6D50">
          <w:rPr>
            <w:color w:val="000000" w:themeColor="text1"/>
            <w:lang w:val="en"/>
          </w:rPr>
          <w:t>chemokines</w:t>
        </w:r>
      </w:hyperlink>
      <w:r w:rsidRPr="00CF6D50">
        <w:rPr>
          <w:color w:val="000000" w:themeColor="text1"/>
          <w:lang w:val="en"/>
        </w:rPr>
        <w:t xml:space="preserve"> that promote </w:t>
      </w:r>
      <w:hyperlink r:id="rId266" w:tooltip="Chemotaxis" w:history="1">
        <w:r w:rsidRPr="00CF6D50">
          <w:rPr>
            <w:color w:val="000000" w:themeColor="text1"/>
            <w:lang w:val="en"/>
          </w:rPr>
          <w:t>chemotaxis</w:t>
        </w:r>
      </w:hyperlink>
      <w:r w:rsidRPr="00CF6D50">
        <w:rPr>
          <w:color w:val="000000" w:themeColor="text1"/>
          <w:lang w:val="en"/>
        </w:rPr>
        <w:t xml:space="preserve">; and </w:t>
      </w:r>
      <w:hyperlink r:id="rId267" w:tooltip="Interferon" w:history="1">
        <w:r w:rsidRPr="00CF6D50">
          <w:rPr>
            <w:color w:val="000000" w:themeColor="text1"/>
            <w:lang w:val="en"/>
          </w:rPr>
          <w:t>interferons</w:t>
        </w:r>
      </w:hyperlink>
      <w:r w:rsidRPr="00CF6D50">
        <w:rPr>
          <w:color w:val="000000" w:themeColor="text1"/>
          <w:lang w:val="en"/>
        </w:rPr>
        <w:t xml:space="preserve"> that have </w:t>
      </w:r>
      <w:hyperlink r:id="rId268" w:tooltip="Antiviral drug" w:history="1">
        <w:r w:rsidRPr="00CF6D50">
          <w:rPr>
            <w:color w:val="000000" w:themeColor="text1"/>
            <w:lang w:val="en"/>
          </w:rPr>
          <w:t>anti-viral</w:t>
        </w:r>
      </w:hyperlink>
      <w:r w:rsidRPr="00CF6D50">
        <w:rPr>
          <w:color w:val="000000" w:themeColor="text1"/>
          <w:lang w:val="en"/>
        </w:rPr>
        <w:t xml:space="preserve"> effects, such as shutting down </w:t>
      </w:r>
      <w:hyperlink r:id="rId269" w:tooltip="Protein biosynthesis" w:history="1">
        <w:r w:rsidRPr="00CF6D50">
          <w:rPr>
            <w:color w:val="000000" w:themeColor="text1"/>
            <w:lang w:val="en"/>
          </w:rPr>
          <w:t>protein synthesis</w:t>
        </w:r>
      </w:hyperlink>
      <w:r w:rsidRPr="00CF6D50">
        <w:rPr>
          <w:color w:val="000000" w:themeColor="text1"/>
          <w:lang w:val="en"/>
        </w:rPr>
        <w:t xml:space="preserve"> in the host cell.</w:t>
      </w:r>
      <w:hyperlink r:id="rId270" w:anchor="cite_note-autogenerated3-51" w:history="1">
        <w:r w:rsidRPr="00CF6D50">
          <w:rPr>
            <w:color w:val="000000" w:themeColor="text1"/>
            <w:sz w:val="19"/>
            <w:szCs w:val="19"/>
            <w:vertAlign w:val="superscript"/>
            <w:lang w:val="en"/>
          </w:rPr>
          <w:t>[51]</w:t>
        </w:r>
      </w:hyperlink>
      <w:r w:rsidRPr="00CF6D50">
        <w:rPr>
          <w:color w:val="000000" w:themeColor="text1"/>
          <w:lang w:val="en"/>
        </w:rPr>
        <w:t xml:space="preserve"> </w:t>
      </w:r>
      <w:hyperlink r:id="rId271" w:tooltip="Growth factor" w:history="1">
        <w:r w:rsidRPr="00CF6D50">
          <w:rPr>
            <w:color w:val="000000" w:themeColor="text1"/>
            <w:lang w:val="en"/>
          </w:rPr>
          <w:t>Growth factors</w:t>
        </w:r>
      </w:hyperlink>
      <w:r w:rsidRPr="00CF6D50">
        <w:rPr>
          <w:color w:val="000000" w:themeColor="text1"/>
          <w:lang w:val="en"/>
        </w:rPr>
        <w:t xml:space="preserve"> and cytotoxic factors may also be released. These cytokines and other chemicals recruit immune cells to the site of infection and promote healing of any damaged tissue following the removal of pathogens.</w:t>
      </w:r>
      <w:hyperlink r:id="rId272" w:anchor="cite_note-autogenerated5-52" w:history="1">
        <w:r w:rsidRPr="00CF6D50">
          <w:rPr>
            <w:color w:val="000000" w:themeColor="text1"/>
            <w:sz w:val="19"/>
            <w:szCs w:val="19"/>
            <w:vertAlign w:val="superscript"/>
            <w:lang w:val="en"/>
          </w:rPr>
          <w:t>[52]</w:t>
        </w:r>
      </w:hyperlink>
      <w:r w:rsidRPr="00CF6D50">
        <w:rPr>
          <w:color w:val="000000" w:themeColor="text1"/>
          <w:lang w:val="en"/>
        </w:rPr>
        <w:t xml:space="preserve"> </w:t>
      </w:r>
    </w:p>
    <w:p w:rsidR="00157810" w:rsidRPr="00CF6D50" w:rsidRDefault="00157810" w:rsidP="00CF6D50">
      <w:pPr>
        <w:spacing w:after="100" w:afterAutospacing="1" w:line="240" w:lineRule="atLeast"/>
        <w:outlineLvl w:val="2"/>
        <w:rPr>
          <w:b/>
          <w:bCs/>
          <w:color w:val="000000" w:themeColor="text1"/>
          <w:sz w:val="27"/>
          <w:szCs w:val="27"/>
          <w:lang w:val="en"/>
        </w:rPr>
      </w:pPr>
      <w:r w:rsidRPr="00CF6D50">
        <w:rPr>
          <w:b/>
          <w:bCs/>
          <w:color w:val="000000" w:themeColor="text1"/>
          <w:sz w:val="27"/>
          <w:szCs w:val="27"/>
          <w:lang w:val="en"/>
        </w:rPr>
        <w:t>Complement system</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The complement system is a </w:t>
      </w:r>
      <w:hyperlink r:id="rId273" w:tooltip="Biochemical cascade" w:history="1">
        <w:r w:rsidRPr="00CF6D50">
          <w:rPr>
            <w:color w:val="000000" w:themeColor="text1"/>
            <w:lang w:val="en"/>
          </w:rPr>
          <w:t>biochemical cascade</w:t>
        </w:r>
      </w:hyperlink>
      <w:r w:rsidRPr="00CF6D50">
        <w:rPr>
          <w:color w:val="000000" w:themeColor="text1"/>
          <w:lang w:val="en"/>
        </w:rPr>
        <w:t xml:space="preserve"> that attacks the surfaces of foreign cells. It contains over 20 different proteins and is named for its ability to "complement" the killing of pathogens by </w:t>
      </w:r>
      <w:hyperlink r:id="rId274" w:tooltip="Antibody" w:history="1">
        <w:r w:rsidRPr="00CF6D50">
          <w:rPr>
            <w:color w:val="000000" w:themeColor="text1"/>
            <w:lang w:val="en"/>
          </w:rPr>
          <w:t>antibodies</w:t>
        </w:r>
      </w:hyperlink>
      <w:r w:rsidRPr="00CF6D50">
        <w:rPr>
          <w:color w:val="000000" w:themeColor="text1"/>
          <w:lang w:val="en"/>
        </w:rPr>
        <w:t>. Complement is the major humoral component of the innate immune response.</w:t>
      </w:r>
      <w:hyperlink r:id="rId275" w:anchor="cite_note-Rus-53" w:history="1">
        <w:r w:rsidRPr="00CF6D50">
          <w:rPr>
            <w:color w:val="000000" w:themeColor="text1"/>
            <w:sz w:val="19"/>
            <w:szCs w:val="19"/>
            <w:vertAlign w:val="superscript"/>
            <w:lang w:val="en"/>
          </w:rPr>
          <w:t>[53</w:t>
        </w:r>
        <w:proofErr w:type="gramStart"/>
        <w:r w:rsidRPr="00CF6D50">
          <w:rPr>
            <w:color w:val="000000" w:themeColor="text1"/>
            <w:sz w:val="19"/>
            <w:szCs w:val="19"/>
            <w:vertAlign w:val="superscript"/>
            <w:lang w:val="en"/>
          </w:rPr>
          <w:t>]</w:t>
        </w:r>
        <w:proofErr w:type="gramEnd"/>
      </w:hyperlink>
      <w:hyperlink r:id="rId276" w:anchor="cite_note-Degn_2013-54" w:history="1">
        <w:r w:rsidRPr="00CF6D50">
          <w:rPr>
            <w:color w:val="000000" w:themeColor="text1"/>
            <w:sz w:val="19"/>
            <w:szCs w:val="19"/>
            <w:vertAlign w:val="superscript"/>
            <w:lang w:val="en"/>
          </w:rPr>
          <w:t>[54]</w:t>
        </w:r>
      </w:hyperlink>
      <w:r w:rsidRPr="00CF6D50">
        <w:rPr>
          <w:color w:val="000000" w:themeColor="text1"/>
          <w:lang w:val="en"/>
        </w:rPr>
        <w:t xml:space="preserve"> Many species have complement systems, including non-</w:t>
      </w:r>
      <w:hyperlink r:id="rId277" w:tooltip="Mammal" w:history="1">
        <w:r w:rsidRPr="00CF6D50">
          <w:rPr>
            <w:color w:val="000000" w:themeColor="text1"/>
            <w:lang w:val="en"/>
          </w:rPr>
          <w:t>mammals</w:t>
        </w:r>
      </w:hyperlink>
      <w:r w:rsidRPr="00CF6D50">
        <w:rPr>
          <w:color w:val="000000" w:themeColor="text1"/>
          <w:lang w:val="en"/>
        </w:rPr>
        <w:t xml:space="preserve"> like plants, fish, and some </w:t>
      </w:r>
      <w:hyperlink r:id="rId278" w:tooltip="Invertebrate" w:history="1">
        <w:r w:rsidRPr="00CF6D50">
          <w:rPr>
            <w:color w:val="000000" w:themeColor="text1"/>
            <w:lang w:val="en"/>
          </w:rPr>
          <w:t>invertebrates</w:t>
        </w:r>
      </w:hyperlink>
      <w:r w:rsidRPr="00CF6D50">
        <w:rPr>
          <w:color w:val="000000" w:themeColor="text1"/>
          <w:lang w:val="en"/>
        </w:rPr>
        <w:t>.</w:t>
      </w:r>
      <w:hyperlink r:id="rId279" w:anchor="cite_note-Janeway6-33" w:history="1">
        <w:r w:rsidRPr="00CF6D50">
          <w:rPr>
            <w:color w:val="000000" w:themeColor="text1"/>
            <w:sz w:val="19"/>
            <w:szCs w:val="19"/>
            <w:vertAlign w:val="superscript"/>
            <w:lang w:val="en"/>
          </w:rPr>
          <w:t>[33]</w:t>
        </w:r>
      </w:hyperlink>
      <w:r w:rsidRPr="00CF6D50">
        <w:rPr>
          <w:color w:val="000000" w:themeColor="text1"/>
          <w:lang w:val="en"/>
        </w:rPr>
        <w:t xml:space="preserve"> </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In humans, this response is activated by complement binding to antibodies that have attached to these microbes or the binding of complement proteins to </w:t>
      </w:r>
      <w:hyperlink r:id="rId280" w:tooltip="Carbohydrate" w:history="1">
        <w:r w:rsidRPr="00CF6D50">
          <w:rPr>
            <w:color w:val="000000" w:themeColor="text1"/>
            <w:lang w:val="en"/>
          </w:rPr>
          <w:t>carbohydrates</w:t>
        </w:r>
      </w:hyperlink>
      <w:r w:rsidRPr="00CF6D50">
        <w:rPr>
          <w:color w:val="000000" w:themeColor="text1"/>
          <w:lang w:val="en"/>
        </w:rPr>
        <w:t xml:space="preserve"> on the surfaces of </w:t>
      </w:r>
      <w:hyperlink r:id="rId281" w:tooltip="Microbe" w:history="1">
        <w:r w:rsidRPr="00CF6D50">
          <w:rPr>
            <w:color w:val="000000" w:themeColor="text1"/>
            <w:lang w:val="en"/>
          </w:rPr>
          <w:t>microbes</w:t>
        </w:r>
      </w:hyperlink>
      <w:r w:rsidRPr="00CF6D50">
        <w:rPr>
          <w:color w:val="000000" w:themeColor="text1"/>
          <w:lang w:val="en"/>
        </w:rPr>
        <w:t xml:space="preserve">. This recognition </w:t>
      </w:r>
      <w:hyperlink r:id="rId282" w:tooltip="Cell signaling" w:history="1">
        <w:r w:rsidRPr="00CF6D50">
          <w:rPr>
            <w:color w:val="000000" w:themeColor="text1"/>
            <w:lang w:val="en"/>
          </w:rPr>
          <w:t>signal</w:t>
        </w:r>
      </w:hyperlink>
      <w:r w:rsidRPr="00CF6D50">
        <w:rPr>
          <w:color w:val="000000" w:themeColor="text1"/>
          <w:lang w:val="en"/>
        </w:rPr>
        <w:t xml:space="preserve"> triggers a rapid killing response.</w:t>
      </w:r>
      <w:hyperlink r:id="rId283" w:anchor="cite_note-55" w:history="1">
        <w:r w:rsidRPr="00CF6D50">
          <w:rPr>
            <w:color w:val="000000" w:themeColor="text1"/>
            <w:sz w:val="19"/>
            <w:szCs w:val="19"/>
            <w:vertAlign w:val="superscript"/>
            <w:lang w:val="en"/>
          </w:rPr>
          <w:t>[55]</w:t>
        </w:r>
      </w:hyperlink>
      <w:r w:rsidRPr="00CF6D50">
        <w:rPr>
          <w:color w:val="000000" w:themeColor="text1"/>
          <w:lang w:val="en"/>
        </w:rPr>
        <w:t xml:space="preserve"> The speed of the response is a result of signal amplification that occurs after sequential </w:t>
      </w:r>
      <w:hyperlink r:id="rId284" w:tooltip="Proteolysis" w:history="1">
        <w:r w:rsidRPr="00CF6D50">
          <w:rPr>
            <w:color w:val="000000" w:themeColor="text1"/>
            <w:lang w:val="en"/>
          </w:rPr>
          <w:t>proteolytic</w:t>
        </w:r>
      </w:hyperlink>
      <w:r w:rsidRPr="00CF6D50">
        <w:rPr>
          <w:color w:val="000000" w:themeColor="text1"/>
          <w:lang w:val="en"/>
        </w:rPr>
        <w:t xml:space="preserve"> activation of complement molecules, which are also proteases. After complement proteins initially bind to the microbe, they activate their protease activity, which in turn activates other complement proteases, and so on. This produces a </w:t>
      </w:r>
      <w:hyperlink r:id="rId285" w:tooltip="Catalysis" w:history="1">
        <w:r w:rsidRPr="00CF6D50">
          <w:rPr>
            <w:color w:val="000000" w:themeColor="text1"/>
            <w:lang w:val="en"/>
          </w:rPr>
          <w:t>catalytic</w:t>
        </w:r>
      </w:hyperlink>
      <w:r w:rsidRPr="00CF6D50">
        <w:rPr>
          <w:color w:val="000000" w:themeColor="text1"/>
          <w:lang w:val="en"/>
        </w:rPr>
        <w:t xml:space="preserve"> cascade that amplifies the initial signal by controlled </w:t>
      </w:r>
      <w:hyperlink r:id="rId286" w:tooltip="Positive feedback" w:history="1">
        <w:r w:rsidRPr="00CF6D50">
          <w:rPr>
            <w:color w:val="000000" w:themeColor="text1"/>
            <w:lang w:val="en"/>
          </w:rPr>
          <w:t>positive feedback</w:t>
        </w:r>
      </w:hyperlink>
      <w:r w:rsidRPr="00CF6D50">
        <w:rPr>
          <w:color w:val="000000" w:themeColor="text1"/>
          <w:lang w:val="en"/>
        </w:rPr>
        <w:t>.</w:t>
      </w:r>
      <w:hyperlink r:id="rId287" w:anchor="cite_note-56" w:history="1">
        <w:r w:rsidRPr="00CF6D50">
          <w:rPr>
            <w:color w:val="000000" w:themeColor="text1"/>
            <w:sz w:val="19"/>
            <w:szCs w:val="19"/>
            <w:vertAlign w:val="superscript"/>
            <w:lang w:val="en"/>
          </w:rPr>
          <w:t>[56]</w:t>
        </w:r>
      </w:hyperlink>
      <w:r w:rsidRPr="00CF6D50">
        <w:rPr>
          <w:color w:val="000000" w:themeColor="text1"/>
          <w:lang w:val="en"/>
        </w:rPr>
        <w:t xml:space="preserve"> The cascade results in the production of peptides that attract immune cells, increase </w:t>
      </w:r>
      <w:hyperlink r:id="rId288" w:tooltip="Vascular permeability" w:history="1">
        <w:r w:rsidRPr="00CF6D50">
          <w:rPr>
            <w:color w:val="000000" w:themeColor="text1"/>
            <w:lang w:val="en"/>
          </w:rPr>
          <w:t>vascular permeability</w:t>
        </w:r>
      </w:hyperlink>
      <w:r w:rsidRPr="00CF6D50">
        <w:rPr>
          <w:color w:val="000000" w:themeColor="text1"/>
          <w:lang w:val="en"/>
        </w:rPr>
        <w:t xml:space="preserve">, and </w:t>
      </w:r>
      <w:hyperlink r:id="rId289" w:tooltip="Opsonin" w:history="1">
        <w:r w:rsidRPr="00CF6D50">
          <w:rPr>
            <w:color w:val="000000" w:themeColor="text1"/>
            <w:lang w:val="en"/>
          </w:rPr>
          <w:t>opsonize</w:t>
        </w:r>
      </w:hyperlink>
      <w:r w:rsidRPr="00CF6D50">
        <w:rPr>
          <w:color w:val="000000" w:themeColor="text1"/>
          <w:lang w:val="en"/>
        </w:rPr>
        <w:t xml:space="preserve"> (coat) the surface of a pathogen, marking it for destruction. This deposition of complement can also kill cells directly by disrupting their </w:t>
      </w:r>
      <w:hyperlink r:id="rId290" w:tooltip="Cell membrane" w:history="1">
        <w:r w:rsidRPr="00CF6D50">
          <w:rPr>
            <w:color w:val="000000" w:themeColor="text1"/>
            <w:lang w:val="en"/>
          </w:rPr>
          <w:t>plasma membrane</w:t>
        </w:r>
      </w:hyperlink>
      <w:r w:rsidRPr="00CF6D50">
        <w:rPr>
          <w:color w:val="000000" w:themeColor="text1"/>
          <w:lang w:val="en"/>
        </w:rPr>
        <w:t>.</w:t>
      </w:r>
      <w:hyperlink r:id="rId291" w:anchor="cite_note-Rus-53" w:history="1">
        <w:r w:rsidRPr="00CF6D50">
          <w:rPr>
            <w:color w:val="000000" w:themeColor="text1"/>
            <w:sz w:val="19"/>
            <w:szCs w:val="19"/>
            <w:vertAlign w:val="superscript"/>
            <w:lang w:val="en"/>
          </w:rPr>
          <w:t>[53]</w:t>
        </w:r>
      </w:hyperlink>
      <w:r w:rsidRPr="00CF6D50">
        <w:rPr>
          <w:color w:val="000000" w:themeColor="text1"/>
          <w:lang w:val="en"/>
        </w:rPr>
        <w:t xml:space="preserve"> </w:t>
      </w:r>
    </w:p>
    <w:p w:rsidR="00CF6D50" w:rsidRPr="00CF6D50" w:rsidRDefault="00CF6D50" w:rsidP="00CF6D50">
      <w:pPr>
        <w:spacing w:after="100" w:afterAutospacing="1" w:line="240" w:lineRule="atLeast"/>
        <w:outlineLvl w:val="1"/>
        <w:rPr>
          <w:b/>
          <w:bCs/>
          <w:color w:val="000000" w:themeColor="text1"/>
          <w:sz w:val="36"/>
          <w:szCs w:val="36"/>
          <w:lang w:val="en"/>
        </w:rPr>
      </w:pPr>
    </w:p>
    <w:p w:rsidR="00157810" w:rsidRPr="00CF6D50" w:rsidRDefault="00157810" w:rsidP="00CF6D50">
      <w:pPr>
        <w:spacing w:after="100" w:afterAutospacing="1" w:line="240" w:lineRule="atLeast"/>
        <w:outlineLvl w:val="1"/>
        <w:rPr>
          <w:b/>
          <w:bCs/>
          <w:color w:val="000000" w:themeColor="text1"/>
          <w:sz w:val="36"/>
          <w:szCs w:val="36"/>
          <w:lang w:val="en"/>
        </w:rPr>
      </w:pPr>
      <w:r w:rsidRPr="00CF6D50">
        <w:rPr>
          <w:b/>
          <w:bCs/>
          <w:color w:val="000000" w:themeColor="text1"/>
          <w:sz w:val="36"/>
          <w:szCs w:val="36"/>
          <w:lang w:val="en"/>
        </w:rPr>
        <w:t>Adaptive immune system</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The adaptive immune system evolved in early vertebrates and allows for a stronger immune response as well as immunological memory, where each pathogen is "remembered" by a signature antigen.</w:t>
      </w:r>
      <w:hyperlink r:id="rId292" w:anchor="cite_note-57" w:history="1">
        <w:r w:rsidRPr="00CF6D50">
          <w:rPr>
            <w:color w:val="000000" w:themeColor="text1"/>
            <w:sz w:val="19"/>
            <w:szCs w:val="19"/>
            <w:vertAlign w:val="superscript"/>
            <w:lang w:val="en"/>
          </w:rPr>
          <w:t>[57]</w:t>
        </w:r>
      </w:hyperlink>
      <w:r w:rsidRPr="00CF6D50">
        <w:rPr>
          <w:color w:val="000000" w:themeColor="text1"/>
          <w:lang w:val="en"/>
        </w:rPr>
        <w:t xml:space="preserve"> The adaptive immune response is antigen-specific and requires the recognition of specific "non-self" antigens during a process called antigen presentation. Antigen </w:t>
      </w:r>
      <w:r w:rsidRPr="00CF6D50">
        <w:rPr>
          <w:color w:val="000000" w:themeColor="text1"/>
          <w:lang w:val="en"/>
        </w:rPr>
        <w:lastRenderedPageBreak/>
        <w:t xml:space="preserve">specificity allows for the generation of responses that are tailored to specific pathogens or pathogen-infected cells. The ability to mount these tailored responses is maintained in the body by "memory cells". Should a pathogen infect the body more than once, these specific memory cells are used to quickly eliminate it. </w:t>
      </w:r>
    </w:p>
    <w:p w:rsidR="00157810" w:rsidRPr="00CF6D50" w:rsidRDefault="00157810" w:rsidP="00CF6D50">
      <w:pPr>
        <w:spacing w:after="100" w:afterAutospacing="1" w:line="240" w:lineRule="atLeast"/>
        <w:outlineLvl w:val="2"/>
        <w:rPr>
          <w:b/>
          <w:bCs/>
          <w:color w:val="000000" w:themeColor="text1"/>
          <w:sz w:val="27"/>
          <w:szCs w:val="27"/>
          <w:lang w:val="en"/>
        </w:rPr>
      </w:pPr>
      <w:r w:rsidRPr="00CF6D50">
        <w:rPr>
          <w:b/>
          <w:bCs/>
          <w:color w:val="000000" w:themeColor="text1"/>
          <w:sz w:val="27"/>
          <w:szCs w:val="27"/>
          <w:lang w:val="en"/>
        </w:rPr>
        <w:t>The recognition of antigen</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The cells of the adaptive immune system are special types of leukocytes, called lymphocytes. </w:t>
      </w:r>
      <w:hyperlink r:id="rId293" w:tooltip="B cell" w:history="1">
        <w:r w:rsidRPr="00CF6D50">
          <w:rPr>
            <w:color w:val="000000" w:themeColor="text1"/>
            <w:lang w:val="en"/>
          </w:rPr>
          <w:t>B cells</w:t>
        </w:r>
      </w:hyperlink>
      <w:r w:rsidRPr="00CF6D50">
        <w:rPr>
          <w:color w:val="000000" w:themeColor="text1"/>
          <w:lang w:val="en"/>
        </w:rPr>
        <w:t xml:space="preserve"> and T cells are the major types of lymphocytes and are derived from </w:t>
      </w:r>
      <w:hyperlink r:id="rId294" w:tooltip="Hematopoietic stem cell" w:history="1">
        <w:r w:rsidRPr="00CF6D50">
          <w:rPr>
            <w:color w:val="000000" w:themeColor="text1"/>
            <w:lang w:val="en"/>
          </w:rPr>
          <w:t>hematopoietic stem cells</w:t>
        </w:r>
      </w:hyperlink>
      <w:r w:rsidRPr="00CF6D50">
        <w:rPr>
          <w:color w:val="000000" w:themeColor="text1"/>
          <w:lang w:val="en"/>
        </w:rPr>
        <w:t xml:space="preserve"> in the </w:t>
      </w:r>
      <w:hyperlink r:id="rId295" w:tooltip="Bone marrow" w:history="1">
        <w:r w:rsidRPr="00CF6D50">
          <w:rPr>
            <w:color w:val="000000" w:themeColor="text1"/>
            <w:lang w:val="en"/>
          </w:rPr>
          <w:t>bone marrow</w:t>
        </w:r>
      </w:hyperlink>
      <w:r w:rsidRPr="00CF6D50">
        <w:rPr>
          <w:color w:val="000000" w:themeColor="text1"/>
          <w:lang w:val="en"/>
        </w:rPr>
        <w:t>.</w:t>
      </w:r>
      <w:hyperlink r:id="rId296" w:anchor="cite_note-Janeway6-33" w:history="1">
        <w:r w:rsidRPr="00CF6D50">
          <w:rPr>
            <w:color w:val="000000" w:themeColor="text1"/>
            <w:sz w:val="19"/>
            <w:szCs w:val="19"/>
            <w:vertAlign w:val="superscript"/>
            <w:lang w:val="en"/>
          </w:rPr>
          <w:t>[33]</w:t>
        </w:r>
      </w:hyperlink>
      <w:r w:rsidRPr="00CF6D50">
        <w:rPr>
          <w:color w:val="000000" w:themeColor="text1"/>
          <w:lang w:val="en"/>
        </w:rPr>
        <w:t xml:space="preserve"> B cells are involved in the </w:t>
      </w:r>
      <w:hyperlink r:id="rId297" w:tooltip="Humoral immunity" w:history="1">
        <w:r w:rsidRPr="00CF6D50">
          <w:rPr>
            <w:color w:val="000000" w:themeColor="text1"/>
            <w:lang w:val="en"/>
          </w:rPr>
          <w:t>humoral immune response</w:t>
        </w:r>
      </w:hyperlink>
      <w:r w:rsidRPr="00CF6D50">
        <w:rPr>
          <w:color w:val="000000" w:themeColor="text1"/>
          <w:lang w:val="en"/>
        </w:rPr>
        <w:t xml:space="preserve">, whereas T cells are involved in </w:t>
      </w:r>
      <w:hyperlink r:id="rId298" w:tooltip="Cell-mediated immunity" w:history="1">
        <w:r w:rsidRPr="00CF6D50">
          <w:rPr>
            <w:color w:val="000000" w:themeColor="text1"/>
            <w:lang w:val="en"/>
          </w:rPr>
          <w:t>cell-mediated immune response</w:t>
        </w:r>
      </w:hyperlink>
      <w:r w:rsidRPr="00CF6D50">
        <w:rPr>
          <w:color w:val="000000" w:themeColor="text1"/>
          <w:lang w:val="en"/>
        </w:rPr>
        <w:t xml:space="preserve">. </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Killer T cells only recognize antigens coupled to </w:t>
      </w:r>
      <w:hyperlink r:id="rId299" w:anchor="MHC_class_I" w:tooltip="Major histocompatibility complex" w:history="1">
        <w:r w:rsidRPr="00CF6D50">
          <w:rPr>
            <w:color w:val="000000" w:themeColor="text1"/>
            <w:lang w:val="en"/>
          </w:rPr>
          <w:t>Class I MHC</w:t>
        </w:r>
      </w:hyperlink>
      <w:r w:rsidRPr="00CF6D50">
        <w:rPr>
          <w:color w:val="000000" w:themeColor="text1"/>
          <w:lang w:val="en"/>
        </w:rPr>
        <w:t xml:space="preserve"> molecules, while helper T cells and regulatory T cells only recognize antigens coupled to </w:t>
      </w:r>
      <w:hyperlink r:id="rId300" w:anchor="MHC_class_II" w:tooltip="Major histocompatibility complex" w:history="1">
        <w:r w:rsidRPr="00CF6D50">
          <w:rPr>
            <w:color w:val="000000" w:themeColor="text1"/>
            <w:lang w:val="en"/>
          </w:rPr>
          <w:t>Class II MHC</w:t>
        </w:r>
      </w:hyperlink>
      <w:r w:rsidRPr="00CF6D50">
        <w:rPr>
          <w:color w:val="000000" w:themeColor="text1"/>
          <w:lang w:val="en"/>
        </w:rPr>
        <w:t xml:space="preserve"> molecules. These two mechanisms of antigen presentation reflect the different roles of the two types of T cell. A third, minor subtype are the </w:t>
      </w:r>
      <w:hyperlink r:id="rId301" w:tooltip="Gamma/delta T cells" w:history="1">
        <w:proofErr w:type="spellStart"/>
        <w:r w:rsidRPr="00CF6D50">
          <w:rPr>
            <w:color w:val="000000" w:themeColor="text1"/>
            <w:lang w:val="en"/>
          </w:rPr>
          <w:t>γδ</w:t>
        </w:r>
        <w:proofErr w:type="spellEnd"/>
        <w:r w:rsidRPr="00CF6D50">
          <w:rPr>
            <w:color w:val="000000" w:themeColor="text1"/>
            <w:lang w:val="en"/>
          </w:rPr>
          <w:t xml:space="preserve"> T cells</w:t>
        </w:r>
      </w:hyperlink>
      <w:r w:rsidRPr="00CF6D50">
        <w:rPr>
          <w:color w:val="000000" w:themeColor="text1"/>
          <w:lang w:val="en"/>
        </w:rPr>
        <w:t xml:space="preserve"> that recognize intact antigens that are not bound to MHC receptors.</w:t>
      </w:r>
      <w:hyperlink r:id="rId302" w:anchor="cite_note-Holtmeier_W,_Kabelitz_D_2005_151–83-58" w:history="1">
        <w:r w:rsidRPr="00CF6D50">
          <w:rPr>
            <w:color w:val="000000" w:themeColor="text1"/>
            <w:sz w:val="19"/>
            <w:szCs w:val="19"/>
            <w:vertAlign w:val="superscript"/>
            <w:lang w:val="en"/>
          </w:rPr>
          <w:t>[58]</w:t>
        </w:r>
      </w:hyperlink>
      <w:r w:rsidRPr="00CF6D50">
        <w:rPr>
          <w:color w:val="000000" w:themeColor="text1"/>
          <w:lang w:val="en"/>
        </w:rPr>
        <w:t xml:space="preserve"> The double-positive T cells are exposed to a wide variety of self-antigens in the </w:t>
      </w:r>
      <w:hyperlink r:id="rId303" w:tooltip="Thymus" w:history="1">
        <w:r w:rsidRPr="00CF6D50">
          <w:rPr>
            <w:color w:val="000000" w:themeColor="text1"/>
            <w:lang w:val="en"/>
          </w:rPr>
          <w:t>thymus</w:t>
        </w:r>
      </w:hyperlink>
      <w:r w:rsidRPr="00CF6D50">
        <w:rPr>
          <w:color w:val="000000" w:themeColor="text1"/>
          <w:lang w:val="en"/>
        </w:rPr>
        <w:t xml:space="preserve">, in which </w:t>
      </w:r>
      <w:hyperlink r:id="rId304" w:tooltip="Iodine" w:history="1">
        <w:r w:rsidRPr="00CF6D50">
          <w:rPr>
            <w:color w:val="000000" w:themeColor="text1"/>
            <w:lang w:val="en"/>
          </w:rPr>
          <w:t>iodine</w:t>
        </w:r>
      </w:hyperlink>
      <w:r w:rsidRPr="00CF6D50">
        <w:rPr>
          <w:color w:val="000000" w:themeColor="text1"/>
          <w:lang w:val="en"/>
        </w:rPr>
        <w:t xml:space="preserve"> is necessary for its thymus development and activity.</w:t>
      </w:r>
      <w:hyperlink r:id="rId305" w:anchor="cite_note-pmid19647627-59" w:history="1">
        <w:r w:rsidRPr="00CF6D50">
          <w:rPr>
            <w:color w:val="000000" w:themeColor="text1"/>
            <w:sz w:val="19"/>
            <w:szCs w:val="19"/>
            <w:vertAlign w:val="superscript"/>
            <w:lang w:val="en"/>
          </w:rPr>
          <w:t>[59]</w:t>
        </w:r>
      </w:hyperlink>
      <w:r w:rsidRPr="00CF6D50">
        <w:rPr>
          <w:color w:val="000000" w:themeColor="text1"/>
          <w:lang w:val="en"/>
        </w:rPr>
        <w:t xml:space="preserve"> </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In contrast, the B cell antigen-specific receptor is an </w:t>
      </w:r>
      <w:hyperlink r:id="rId306" w:tooltip="Antibody" w:history="1">
        <w:r w:rsidRPr="00CF6D50">
          <w:rPr>
            <w:color w:val="000000" w:themeColor="text1"/>
            <w:lang w:val="en"/>
          </w:rPr>
          <w:t>antibody</w:t>
        </w:r>
      </w:hyperlink>
      <w:r w:rsidRPr="00CF6D50">
        <w:rPr>
          <w:color w:val="000000" w:themeColor="text1"/>
          <w:lang w:val="en"/>
        </w:rPr>
        <w:t xml:space="preserve"> molecule on the B cell surface, and recognizes whole pathogens without any need for </w:t>
      </w:r>
      <w:hyperlink r:id="rId307" w:tooltip="Antigen processing" w:history="1">
        <w:r w:rsidRPr="00CF6D50">
          <w:rPr>
            <w:color w:val="000000" w:themeColor="text1"/>
            <w:lang w:val="en"/>
          </w:rPr>
          <w:t>antigen processing</w:t>
        </w:r>
      </w:hyperlink>
      <w:r w:rsidRPr="00CF6D50">
        <w:rPr>
          <w:color w:val="000000" w:themeColor="text1"/>
          <w:lang w:val="en"/>
        </w:rPr>
        <w:t>. Each lineage of B cell expresses a different antibody, so the complete set of B cell antigen receptors represent all the antibodies that the body can manufacture.</w:t>
      </w:r>
      <w:hyperlink r:id="rId308" w:anchor="cite_note-Janeway6-33" w:history="1">
        <w:r w:rsidRPr="00CF6D50">
          <w:rPr>
            <w:color w:val="000000" w:themeColor="text1"/>
            <w:sz w:val="19"/>
            <w:szCs w:val="19"/>
            <w:vertAlign w:val="superscript"/>
            <w:lang w:val="en"/>
          </w:rPr>
          <w:t>[33]</w:t>
        </w:r>
      </w:hyperlink>
      <w:r w:rsidRPr="00CF6D50">
        <w:rPr>
          <w:color w:val="000000" w:themeColor="text1"/>
          <w:lang w:val="en"/>
        </w:rPr>
        <w:t xml:space="preserve"> </w:t>
      </w:r>
    </w:p>
    <w:p w:rsidR="00157810" w:rsidRPr="00CF6D50" w:rsidRDefault="00157810" w:rsidP="00CF6D50">
      <w:pPr>
        <w:spacing w:after="100" w:afterAutospacing="1" w:line="240" w:lineRule="atLeast"/>
        <w:outlineLvl w:val="2"/>
        <w:rPr>
          <w:b/>
          <w:bCs/>
          <w:color w:val="000000" w:themeColor="text1"/>
          <w:sz w:val="27"/>
          <w:szCs w:val="27"/>
          <w:lang w:val="en"/>
        </w:rPr>
      </w:pPr>
      <w:r w:rsidRPr="00CF6D50">
        <w:rPr>
          <w:b/>
          <w:bCs/>
          <w:color w:val="000000" w:themeColor="text1"/>
          <w:sz w:val="27"/>
          <w:szCs w:val="27"/>
          <w:lang w:val="en"/>
        </w:rPr>
        <w:t>Antigen presentation to T lymphocytes</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Both B cells and T cells carry receptor molecules that recognize specific targets. T cells recognize a "non-self" target, such as a pathogen, only after antigens (small fragments of the pathogen) have been processed and presented in combination with a "self" receptor called a major histocompatibility complex (MHC) molecule. </w:t>
      </w:r>
    </w:p>
    <w:p w:rsidR="00157810" w:rsidRPr="00CF6D50" w:rsidRDefault="00157810" w:rsidP="00CF6D50">
      <w:pPr>
        <w:spacing w:after="100" w:afterAutospacing="1" w:line="240" w:lineRule="atLeast"/>
        <w:outlineLvl w:val="2"/>
        <w:rPr>
          <w:b/>
          <w:bCs/>
          <w:color w:val="000000" w:themeColor="text1"/>
          <w:sz w:val="27"/>
          <w:szCs w:val="27"/>
          <w:lang w:val="en"/>
        </w:rPr>
      </w:pPr>
      <w:r w:rsidRPr="00CF6D50">
        <w:rPr>
          <w:b/>
          <w:bCs/>
          <w:color w:val="000000" w:themeColor="text1"/>
          <w:sz w:val="27"/>
          <w:szCs w:val="27"/>
          <w:lang w:val="en"/>
        </w:rPr>
        <w:t>Cell mediated immunity</w:t>
      </w:r>
    </w:p>
    <w:p w:rsidR="00157810" w:rsidRPr="00CF6D50" w:rsidRDefault="00157810" w:rsidP="00CF6D50">
      <w:pPr>
        <w:spacing w:after="100" w:afterAutospacing="1" w:line="240" w:lineRule="atLeast"/>
        <w:rPr>
          <w:color w:val="000000" w:themeColor="text1"/>
          <w:lang w:val="en"/>
        </w:rPr>
      </w:pPr>
      <w:r w:rsidRPr="00CF6D50">
        <w:rPr>
          <w:color w:val="000000" w:themeColor="text1"/>
          <w:lang w:val="en"/>
        </w:rPr>
        <w:t xml:space="preserve">There are two major subtypes of T cells: the </w:t>
      </w:r>
      <w:hyperlink r:id="rId309" w:tooltip="Cytotoxic T cell" w:history="1">
        <w:r w:rsidRPr="00CF6D50">
          <w:rPr>
            <w:color w:val="000000" w:themeColor="text1"/>
            <w:lang w:val="en"/>
          </w:rPr>
          <w:t>killer T cell</w:t>
        </w:r>
      </w:hyperlink>
      <w:r w:rsidRPr="00CF6D50">
        <w:rPr>
          <w:color w:val="000000" w:themeColor="text1"/>
          <w:lang w:val="en"/>
        </w:rPr>
        <w:t xml:space="preserve"> and the </w:t>
      </w:r>
      <w:hyperlink r:id="rId310" w:tooltip="T helper cell" w:history="1">
        <w:r w:rsidRPr="00CF6D50">
          <w:rPr>
            <w:color w:val="000000" w:themeColor="text1"/>
            <w:lang w:val="en"/>
          </w:rPr>
          <w:t>helper T cell</w:t>
        </w:r>
      </w:hyperlink>
      <w:r w:rsidRPr="00CF6D50">
        <w:rPr>
          <w:color w:val="000000" w:themeColor="text1"/>
          <w:lang w:val="en"/>
        </w:rPr>
        <w:t xml:space="preserve">. In addition there are </w:t>
      </w:r>
      <w:hyperlink r:id="rId311" w:tooltip="Regulatory T cells" w:history="1">
        <w:r w:rsidRPr="00CF6D50">
          <w:rPr>
            <w:color w:val="000000" w:themeColor="text1"/>
            <w:lang w:val="en"/>
          </w:rPr>
          <w:t>regulatory T cells</w:t>
        </w:r>
      </w:hyperlink>
      <w:r w:rsidRPr="00CF6D50">
        <w:rPr>
          <w:color w:val="000000" w:themeColor="text1"/>
          <w:lang w:val="en"/>
        </w:rPr>
        <w:t xml:space="preserve"> which have a role in modulating immune response. </w:t>
      </w:r>
    </w:p>
    <w:p w:rsidR="00157810" w:rsidRPr="00CF6D50" w:rsidRDefault="00157810" w:rsidP="00CF6D50">
      <w:pPr>
        <w:spacing w:after="100" w:afterAutospacing="1" w:line="240" w:lineRule="atLeast"/>
        <w:outlineLvl w:val="3"/>
        <w:rPr>
          <w:b/>
          <w:bCs/>
          <w:color w:val="000000" w:themeColor="text1"/>
          <w:lang w:val="en"/>
        </w:rPr>
      </w:pPr>
      <w:r w:rsidRPr="00CF6D50">
        <w:rPr>
          <w:b/>
          <w:bCs/>
          <w:color w:val="000000" w:themeColor="text1"/>
          <w:lang w:val="en"/>
        </w:rPr>
        <w:t>Killer T cells</w:t>
      </w:r>
    </w:p>
    <w:p w:rsidR="00157810" w:rsidRPr="00CF6D50" w:rsidRDefault="00585656" w:rsidP="00CF6D50">
      <w:pPr>
        <w:spacing w:after="100" w:afterAutospacing="1" w:line="240" w:lineRule="atLeast"/>
        <w:rPr>
          <w:color w:val="000000" w:themeColor="text1"/>
          <w:sz w:val="19"/>
          <w:szCs w:val="19"/>
          <w:vertAlign w:val="superscript"/>
          <w:lang w:val="en"/>
        </w:rPr>
      </w:pPr>
      <w:hyperlink r:id="rId312" w:tooltip="Cytotoxic T cell" w:history="1">
        <w:r w:rsidR="00157810" w:rsidRPr="00CF6D50">
          <w:rPr>
            <w:color w:val="000000" w:themeColor="text1"/>
            <w:lang w:val="en"/>
          </w:rPr>
          <w:t>Killer T cells</w:t>
        </w:r>
      </w:hyperlink>
      <w:r w:rsidR="00157810" w:rsidRPr="00CF6D50">
        <w:rPr>
          <w:color w:val="000000" w:themeColor="text1"/>
          <w:lang w:val="en"/>
        </w:rPr>
        <w:t xml:space="preserve"> are a sub-group of T cells that kill cells that are infected with viruses (and other pathogens), or are otherwise damaged or dysfunctional.</w:t>
      </w:r>
      <w:hyperlink r:id="rId313" w:anchor="cite_note-60" w:history="1">
        <w:r w:rsidR="00157810" w:rsidRPr="00CF6D50">
          <w:rPr>
            <w:color w:val="000000" w:themeColor="text1"/>
            <w:sz w:val="19"/>
            <w:szCs w:val="19"/>
            <w:vertAlign w:val="superscript"/>
            <w:lang w:val="en"/>
          </w:rPr>
          <w:t>[60]</w:t>
        </w:r>
      </w:hyperlink>
      <w:r w:rsidR="00157810" w:rsidRPr="00CF6D50">
        <w:rPr>
          <w:color w:val="000000" w:themeColor="text1"/>
          <w:lang w:val="en"/>
        </w:rPr>
        <w:t xml:space="preserve"> As with B cells, each type of T cell recognizes a different antigen. Killer T cells are activated when their </w:t>
      </w:r>
      <w:hyperlink r:id="rId314" w:tooltip="T-cell receptor" w:history="1">
        <w:r w:rsidR="00157810" w:rsidRPr="00CF6D50">
          <w:rPr>
            <w:color w:val="000000" w:themeColor="text1"/>
            <w:lang w:val="en"/>
          </w:rPr>
          <w:t>T-cell receptor</w:t>
        </w:r>
      </w:hyperlink>
      <w:r w:rsidR="00157810" w:rsidRPr="00CF6D50">
        <w:rPr>
          <w:color w:val="000000" w:themeColor="text1"/>
          <w:lang w:val="en"/>
        </w:rPr>
        <w:t xml:space="preserve"> (TCR) binds to this specific antigen in a complex with the MHC Class I receptor of another cell. Recognition of this </w:t>
      </w:r>
      <w:proofErr w:type="spellStart"/>
      <w:r w:rsidR="00157810" w:rsidRPr="00CF6D50">
        <w:rPr>
          <w:color w:val="000000" w:themeColor="text1"/>
          <w:lang w:val="en"/>
        </w:rPr>
        <w:t>MHC</w:t>
      </w:r>
      <w:proofErr w:type="gramStart"/>
      <w:r w:rsidR="00157810" w:rsidRPr="00CF6D50">
        <w:rPr>
          <w:color w:val="000000" w:themeColor="text1"/>
          <w:lang w:val="en"/>
        </w:rPr>
        <w:t>:antigen</w:t>
      </w:r>
      <w:proofErr w:type="spellEnd"/>
      <w:proofErr w:type="gramEnd"/>
      <w:r w:rsidR="00157810" w:rsidRPr="00CF6D50">
        <w:rPr>
          <w:color w:val="000000" w:themeColor="text1"/>
          <w:lang w:val="en"/>
        </w:rPr>
        <w:t xml:space="preserve"> complex is aided by a </w:t>
      </w:r>
      <w:hyperlink r:id="rId315" w:tooltip="Co-receptor" w:history="1">
        <w:r w:rsidR="00157810" w:rsidRPr="00CF6D50">
          <w:rPr>
            <w:color w:val="000000" w:themeColor="text1"/>
            <w:lang w:val="en"/>
          </w:rPr>
          <w:t>co-receptor</w:t>
        </w:r>
      </w:hyperlink>
      <w:r w:rsidR="00157810" w:rsidRPr="00CF6D50">
        <w:rPr>
          <w:color w:val="000000" w:themeColor="text1"/>
          <w:lang w:val="en"/>
        </w:rPr>
        <w:t xml:space="preserve"> on the T cell, called </w:t>
      </w:r>
      <w:hyperlink r:id="rId316" w:tooltip="CD8" w:history="1">
        <w:r w:rsidR="00157810" w:rsidRPr="00CF6D50">
          <w:rPr>
            <w:color w:val="000000" w:themeColor="text1"/>
            <w:lang w:val="en"/>
          </w:rPr>
          <w:t>CD8</w:t>
        </w:r>
      </w:hyperlink>
      <w:r w:rsidR="00157810" w:rsidRPr="00CF6D50">
        <w:rPr>
          <w:color w:val="000000" w:themeColor="text1"/>
          <w:lang w:val="en"/>
        </w:rPr>
        <w:t xml:space="preserve">. The T cell then travels throughout the body in search of cells where the MHC I receptors bear this antigen. When an activated T cell contacts such cells, it releases </w:t>
      </w:r>
      <w:hyperlink r:id="rId317" w:tooltip="Cytotoxicity" w:history="1">
        <w:proofErr w:type="spellStart"/>
        <w:r w:rsidR="00157810" w:rsidRPr="00CF6D50">
          <w:rPr>
            <w:color w:val="000000" w:themeColor="text1"/>
            <w:lang w:val="en"/>
          </w:rPr>
          <w:t>cytotoxins</w:t>
        </w:r>
        <w:proofErr w:type="spellEnd"/>
      </w:hyperlink>
      <w:r w:rsidR="00157810" w:rsidRPr="00CF6D50">
        <w:rPr>
          <w:color w:val="000000" w:themeColor="text1"/>
          <w:lang w:val="en"/>
        </w:rPr>
        <w:t xml:space="preserve">, such as </w:t>
      </w:r>
      <w:hyperlink r:id="rId318" w:tooltip="Perforin" w:history="1">
        <w:r w:rsidR="00157810" w:rsidRPr="00CF6D50">
          <w:rPr>
            <w:color w:val="000000" w:themeColor="text1"/>
            <w:lang w:val="en"/>
          </w:rPr>
          <w:t>perforin</w:t>
        </w:r>
      </w:hyperlink>
      <w:r w:rsidR="00157810" w:rsidRPr="00CF6D50">
        <w:rPr>
          <w:color w:val="000000" w:themeColor="text1"/>
          <w:lang w:val="en"/>
        </w:rPr>
        <w:t xml:space="preserve">, which form pores in the target cell's </w:t>
      </w:r>
      <w:hyperlink r:id="rId319" w:tooltip="Cell membrane" w:history="1">
        <w:r w:rsidR="00157810" w:rsidRPr="00CF6D50">
          <w:rPr>
            <w:color w:val="000000" w:themeColor="text1"/>
            <w:lang w:val="en"/>
          </w:rPr>
          <w:t>plasma membrane</w:t>
        </w:r>
      </w:hyperlink>
      <w:r w:rsidR="00157810" w:rsidRPr="00CF6D50">
        <w:rPr>
          <w:color w:val="000000" w:themeColor="text1"/>
          <w:lang w:val="en"/>
        </w:rPr>
        <w:t xml:space="preserve">, allowing </w:t>
      </w:r>
      <w:hyperlink r:id="rId320" w:tooltip="Ion" w:history="1">
        <w:r w:rsidR="00157810" w:rsidRPr="00CF6D50">
          <w:rPr>
            <w:color w:val="000000" w:themeColor="text1"/>
            <w:lang w:val="en"/>
          </w:rPr>
          <w:t>ions</w:t>
        </w:r>
      </w:hyperlink>
      <w:r w:rsidR="00157810" w:rsidRPr="00CF6D50">
        <w:rPr>
          <w:color w:val="000000" w:themeColor="text1"/>
          <w:lang w:val="en"/>
        </w:rPr>
        <w:t xml:space="preserve">, water and toxins to enter. The entry of </w:t>
      </w:r>
      <w:r w:rsidR="00157810" w:rsidRPr="00CF6D50">
        <w:rPr>
          <w:color w:val="000000" w:themeColor="text1"/>
          <w:lang w:val="en"/>
        </w:rPr>
        <w:lastRenderedPageBreak/>
        <w:t xml:space="preserve">another toxin called </w:t>
      </w:r>
      <w:hyperlink r:id="rId321" w:tooltip="Granulysin" w:history="1">
        <w:proofErr w:type="spellStart"/>
        <w:r w:rsidR="00157810" w:rsidRPr="00CF6D50">
          <w:rPr>
            <w:color w:val="000000" w:themeColor="text1"/>
            <w:lang w:val="en"/>
          </w:rPr>
          <w:t>granulysin</w:t>
        </w:r>
        <w:proofErr w:type="spellEnd"/>
      </w:hyperlink>
      <w:r w:rsidR="00157810" w:rsidRPr="00CF6D50">
        <w:rPr>
          <w:color w:val="000000" w:themeColor="text1"/>
          <w:lang w:val="en"/>
        </w:rPr>
        <w:t xml:space="preserve"> (a protease) induces the target cell to undergo </w:t>
      </w:r>
      <w:hyperlink r:id="rId322" w:tooltip="Apoptosis" w:history="1">
        <w:r w:rsidR="00157810" w:rsidRPr="00CF6D50">
          <w:rPr>
            <w:color w:val="000000" w:themeColor="text1"/>
            <w:lang w:val="en"/>
          </w:rPr>
          <w:t>apoptosis</w:t>
        </w:r>
      </w:hyperlink>
      <w:r w:rsidR="00157810" w:rsidRPr="00CF6D50">
        <w:rPr>
          <w:color w:val="000000" w:themeColor="text1"/>
          <w:lang w:val="en"/>
        </w:rPr>
        <w:t>.</w:t>
      </w:r>
      <w:hyperlink r:id="rId323" w:anchor="cite_note-Radoja-61" w:history="1">
        <w:r w:rsidR="00157810" w:rsidRPr="00CF6D50">
          <w:rPr>
            <w:color w:val="000000" w:themeColor="text1"/>
            <w:sz w:val="19"/>
            <w:szCs w:val="19"/>
            <w:vertAlign w:val="superscript"/>
            <w:lang w:val="en"/>
          </w:rPr>
          <w:t>[61]</w:t>
        </w:r>
      </w:hyperlink>
      <w:r w:rsidR="00157810" w:rsidRPr="00CF6D50">
        <w:rPr>
          <w:color w:val="000000" w:themeColor="text1"/>
          <w:lang w:val="en"/>
        </w:rPr>
        <w:t xml:space="preserve"> T cell killing of host cells is particularly important in preventing the replication of viruses. T cell activation is tightly controlled and generally requires a very strong MHC/antigen activation signal, or additional activation signals provided by "helper" T cells (see below).</w:t>
      </w:r>
      <w:hyperlink r:id="rId324" w:anchor="cite_note-Radoja-61" w:history="1">
        <w:r w:rsidR="00157810" w:rsidRPr="00CF6D50">
          <w:rPr>
            <w:color w:val="000000" w:themeColor="text1"/>
            <w:sz w:val="19"/>
            <w:szCs w:val="19"/>
            <w:vertAlign w:val="superscript"/>
            <w:lang w:val="en"/>
          </w:rPr>
          <w:t>[61]</w:t>
        </w:r>
      </w:hyperlink>
    </w:p>
    <w:p w:rsidR="00CF6D50" w:rsidRPr="00CF6D50" w:rsidRDefault="00585656" w:rsidP="00CF6D50">
      <w:pPr>
        <w:pStyle w:val="NormalWeb"/>
        <w:spacing w:before="0" w:beforeAutospacing="0" w:after="120" w:afterAutospacing="0" w:line="240" w:lineRule="atLeast"/>
        <w:rPr>
          <w:rFonts w:ascii="Arial" w:hAnsi="Arial" w:cs="Arial"/>
          <w:color w:val="000000" w:themeColor="text1"/>
          <w:sz w:val="21"/>
          <w:szCs w:val="21"/>
        </w:rPr>
      </w:pPr>
      <w:hyperlink r:id="rId325" w:history="1">
        <w:r w:rsidR="00CF6D50" w:rsidRPr="00CF6D50">
          <w:rPr>
            <w:rStyle w:val="Hyperlink"/>
            <w:rFonts w:ascii="Arial" w:hAnsi="Arial" w:cs="Arial"/>
            <w:color w:val="000000" w:themeColor="text1"/>
            <w:sz w:val="21"/>
            <w:szCs w:val="21"/>
            <w:u w:val="none"/>
          </w:rPr>
          <w:t>Helper T cells</w:t>
        </w:r>
      </w:hyperlink>
      <w:r w:rsidR="00CF6D50" w:rsidRPr="00CF6D50">
        <w:rPr>
          <w:rFonts w:ascii="Arial" w:hAnsi="Arial" w:cs="Arial"/>
          <w:color w:val="000000" w:themeColor="text1"/>
          <w:sz w:val="21"/>
          <w:szCs w:val="21"/>
        </w:rPr>
        <w:t xml:space="preserve"> regulate both the innate and adaptive immune responses and help determine which immune responses the body makes to a particular pathogen.</w:t>
      </w:r>
      <w:hyperlink r:id="rId326" w:anchor="cite_note-62" w:history="1">
        <w:r w:rsidR="00CF6D50" w:rsidRPr="00CF6D50">
          <w:rPr>
            <w:rStyle w:val="Hyperlink"/>
            <w:rFonts w:ascii="Arial" w:hAnsi="Arial" w:cs="Arial"/>
            <w:color w:val="000000" w:themeColor="text1"/>
            <w:sz w:val="17"/>
            <w:szCs w:val="17"/>
            <w:u w:val="none"/>
            <w:vertAlign w:val="superscript"/>
          </w:rPr>
          <w:t>[62</w:t>
        </w:r>
        <w:proofErr w:type="gramStart"/>
        <w:r w:rsidR="00CF6D50" w:rsidRPr="00CF6D50">
          <w:rPr>
            <w:rStyle w:val="Hyperlink"/>
            <w:rFonts w:ascii="Arial" w:hAnsi="Arial" w:cs="Arial"/>
            <w:color w:val="000000" w:themeColor="text1"/>
            <w:sz w:val="17"/>
            <w:szCs w:val="17"/>
            <w:u w:val="none"/>
            <w:vertAlign w:val="superscript"/>
          </w:rPr>
          <w:t>]</w:t>
        </w:r>
        <w:proofErr w:type="gramEnd"/>
      </w:hyperlink>
      <w:hyperlink r:id="rId327" w:anchor="cite_note-63" w:history="1">
        <w:r w:rsidR="00CF6D50" w:rsidRPr="00CF6D50">
          <w:rPr>
            <w:rStyle w:val="Hyperlink"/>
            <w:rFonts w:ascii="Arial" w:hAnsi="Arial" w:cs="Arial"/>
            <w:color w:val="000000" w:themeColor="text1"/>
            <w:sz w:val="17"/>
            <w:szCs w:val="17"/>
            <w:u w:val="none"/>
            <w:vertAlign w:val="superscript"/>
          </w:rPr>
          <w:t>[63]</w:t>
        </w:r>
      </w:hyperlink>
      <w:r w:rsidR="00CF6D50" w:rsidRPr="00CF6D50">
        <w:rPr>
          <w:rFonts w:ascii="Arial" w:hAnsi="Arial" w:cs="Arial"/>
          <w:color w:val="000000" w:themeColor="text1"/>
          <w:sz w:val="21"/>
          <w:szCs w:val="21"/>
        </w:rPr>
        <w:t xml:space="preserve"> These cells have no cytotoxic activity and do not kill infected cells or clear pathogens directly. They instead control the immune response by directing other cells to perform these tasks. </w:t>
      </w:r>
    </w:p>
    <w:p w:rsidR="00CF6D50" w:rsidRPr="00CF6D50" w:rsidRDefault="00CF6D50" w:rsidP="00CF6D50">
      <w:pPr>
        <w:pStyle w:val="NormalWeb"/>
        <w:spacing w:before="0" w:beforeAutospacing="0" w:after="120" w:afterAutospacing="0" w:line="240" w:lineRule="atLeast"/>
        <w:rPr>
          <w:rFonts w:ascii="Arial" w:hAnsi="Arial" w:cs="Arial"/>
          <w:color w:val="000000" w:themeColor="text1"/>
          <w:sz w:val="21"/>
          <w:szCs w:val="21"/>
        </w:rPr>
      </w:pPr>
      <w:r w:rsidRPr="00CF6D50">
        <w:rPr>
          <w:rFonts w:ascii="Arial" w:hAnsi="Arial" w:cs="Arial"/>
          <w:color w:val="000000" w:themeColor="text1"/>
          <w:sz w:val="21"/>
          <w:szCs w:val="21"/>
        </w:rPr>
        <w:t xml:space="preserve">Helper T cells express T cell receptors (TCR) that recognize antigen bound to Class II MHC molecules. The </w:t>
      </w:r>
      <w:proofErr w:type="spellStart"/>
      <w:r w:rsidRPr="00CF6D50">
        <w:rPr>
          <w:rFonts w:ascii="Arial" w:hAnsi="Arial" w:cs="Arial"/>
          <w:color w:val="000000" w:themeColor="text1"/>
          <w:sz w:val="21"/>
          <w:szCs w:val="21"/>
        </w:rPr>
        <w:t>MHC</w:t>
      </w:r>
      <w:proofErr w:type="gramStart"/>
      <w:r w:rsidRPr="00CF6D50">
        <w:rPr>
          <w:rFonts w:ascii="Arial" w:hAnsi="Arial" w:cs="Arial"/>
          <w:color w:val="000000" w:themeColor="text1"/>
          <w:sz w:val="21"/>
          <w:szCs w:val="21"/>
        </w:rPr>
        <w:t>:antigen</w:t>
      </w:r>
      <w:proofErr w:type="spellEnd"/>
      <w:proofErr w:type="gramEnd"/>
      <w:r w:rsidRPr="00CF6D50">
        <w:rPr>
          <w:rFonts w:ascii="Arial" w:hAnsi="Arial" w:cs="Arial"/>
          <w:color w:val="000000" w:themeColor="text1"/>
          <w:sz w:val="21"/>
          <w:szCs w:val="21"/>
        </w:rPr>
        <w:t xml:space="preserve"> complex is also recognized by the helper cell's </w:t>
      </w:r>
      <w:hyperlink r:id="rId328" w:tooltip="CD4" w:history="1">
        <w:r w:rsidRPr="00CF6D50">
          <w:rPr>
            <w:rStyle w:val="Hyperlink"/>
            <w:rFonts w:ascii="Arial" w:hAnsi="Arial" w:cs="Arial"/>
            <w:color w:val="000000" w:themeColor="text1"/>
            <w:sz w:val="21"/>
            <w:szCs w:val="21"/>
            <w:u w:val="none"/>
          </w:rPr>
          <w:t>CD4</w:t>
        </w:r>
      </w:hyperlink>
      <w:r w:rsidRPr="00CF6D50">
        <w:rPr>
          <w:rFonts w:ascii="Arial" w:hAnsi="Arial" w:cs="Arial"/>
          <w:color w:val="000000" w:themeColor="text1"/>
          <w:sz w:val="21"/>
          <w:szCs w:val="21"/>
        </w:rPr>
        <w:t xml:space="preserve"> co-receptor, which recruits molecules inside the T cell (e.g., </w:t>
      </w:r>
      <w:hyperlink r:id="rId329" w:tooltip="Lck" w:history="1">
        <w:proofErr w:type="spellStart"/>
        <w:r w:rsidRPr="00CF6D50">
          <w:rPr>
            <w:rStyle w:val="Hyperlink"/>
            <w:rFonts w:ascii="Arial" w:hAnsi="Arial" w:cs="Arial"/>
            <w:color w:val="000000" w:themeColor="text1"/>
            <w:sz w:val="21"/>
            <w:szCs w:val="21"/>
            <w:u w:val="none"/>
          </w:rPr>
          <w:t>Lck</w:t>
        </w:r>
        <w:proofErr w:type="spellEnd"/>
      </w:hyperlink>
      <w:r w:rsidRPr="00CF6D50">
        <w:rPr>
          <w:rFonts w:ascii="Arial" w:hAnsi="Arial" w:cs="Arial"/>
          <w:color w:val="000000" w:themeColor="text1"/>
          <w:sz w:val="21"/>
          <w:szCs w:val="21"/>
        </w:rPr>
        <w:t xml:space="preserve">) that are responsible for the T cell's activation. Helper T cells have a weaker association with the </w:t>
      </w:r>
      <w:proofErr w:type="spellStart"/>
      <w:r w:rsidRPr="00CF6D50">
        <w:rPr>
          <w:rFonts w:ascii="Arial" w:hAnsi="Arial" w:cs="Arial"/>
          <w:color w:val="000000" w:themeColor="text1"/>
          <w:sz w:val="21"/>
          <w:szCs w:val="21"/>
        </w:rPr>
        <w:t>MHC:antigen</w:t>
      </w:r>
      <w:proofErr w:type="spellEnd"/>
      <w:r w:rsidRPr="00CF6D50">
        <w:rPr>
          <w:rFonts w:ascii="Arial" w:hAnsi="Arial" w:cs="Arial"/>
          <w:color w:val="000000" w:themeColor="text1"/>
          <w:sz w:val="21"/>
          <w:szCs w:val="21"/>
        </w:rPr>
        <w:t xml:space="preserve"> complex than observed for killer T cells, meaning many receptors (around 200–300) on the helper T cell must be bound by an </w:t>
      </w:r>
      <w:proofErr w:type="spellStart"/>
      <w:r w:rsidRPr="00CF6D50">
        <w:rPr>
          <w:rFonts w:ascii="Arial" w:hAnsi="Arial" w:cs="Arial"/>
          <w:color w:val="000000" w:themeColor="text1"/>
          <w:sz w:val="21"/>
          <w:szCs w:val="21"/>
        </w:rPr>
        <w:t>MHC:antigen</w:t>
      </w:r>
      <w:proofErr w:type="spellEnd"/>
      <w:r w:rsidRPr="00CF6D50">
        <w:rPr>
          <w:rFonts w:ascii="Arial" w:hAnsi="Arial" w:cs="Arial"/>
          <w:color w:val="000000" w:themeColor="text1"/>
          <w:sz w:val="21"/>
          <w:szCs w:val="21"/>
        </w:rPr>
        <w:t xml:space="preserve"> in order to activate the helper cell, while killer T cells can be activated by engagement of a single </w:t>
      </w:r>
      <w:proofErr w:type="spellStart"/>
      <w:r w:rsidRPr="00CF6D50">
        <w:rPr>
          <w:rFonts w:ascii="Arial" w:hAnsi="Arial" w:cs="Arial"/>
          <w:color w:val="000000" w:themeColor="text1"/>
          <w:sz w:val="21"/>
          <w:szCs w:val="21"/>
        </w:rPr>
        <w:t>MHC:antigen</w:t>
      </w:r>
      <w:proofErr w:type="spellEnd"/>
      <w:r w:rsidRPr="00CF6D50">
        <w:rPr>
          <w:rFonts w:ascii="Arial" w:hAnsi="Arial" w:cs="Arial"/>
          <w:color w:val="000000" w:themeColor="text1"/>
          <w:sz w:val="21"/>
          <w:szCs w:val="21"/>
        </w:rPr>
        <w:t xml:space="preserve"> molecule. Helper T cell activation also requires longer duration of engagement with an antigen-presenting cell.</w:t>
      </w:r>
      <w:hyperlink r:id="rId330" w:anchor="cite_note-64" w:history="1">
        <w:r w:rsidRPr="00CF6D50">
          <w:rPr>
            <w:rStyle w:val="Hyperlink"/>
            <w:rFonts w:ascii="Arial" w:hAnsi="Arial" w:cs="Arial"/>
            <w:color w:val="000000" w:themeColor="text1"/>
            <w:sz w:val="17"/>
            <w:szCs w:val="17"/>
            <w:u w:val="none"/>
            <w:vertAlign w:val="superscript"/>
          </w:rPr>
          <w:t>[64]</w:t>
        </w:r>
      </w:hyperlink>
      <w:r w:rsidRPr="00CF6D50">
        <w:rPr>
          <w:rFonts w:ascii="Arial" w:hAnsi="Arial" w:cs="Arial"/>
          <w:color w:val="000000" w:themeColor="text1"/>
          <w:sz w:val="21"/>
          <w:szCs w:val="21"/>
        </w:rPr>
        <w:t xml:space="preserve"> The activation of a resting helper T cell causes it to release cytokines that influence the activity of many cell types. Cytokine signals produced by helper T cells enhance the </w:t>
      </w:r>
      <w:proofErr w:type="spellStart"/>
      <w:r w:rsidRPr="00CF6D50">
        <w:rPr>
          <w:rFonts w:ascii="Arial" w:hAnsi="Arial" w:cs="Arial"/>
          <w:color w:val="000000" w:themeColor="text1"/>
          <w:sz w:val="21"/>
          <w:szCs w:val="21"/>
        </w:rPr>
        <w:t>microbicidal</w:t>
      </w:r>
      <w:proofErr w:type="spellEnd"/>
      <w:r w:rsidRPr="00CF6D50">
        <w:rPr>
          <w:rFonts w:ascii="Arial" w:hAnsi="Arial" w:cs="Arial"/>
          <w:color w:val="000000" w:themeColor="text1"/>
          <w:sz w:val="21"/>
          <w:szCs w:val="21"/>
        </w:rPr>
        <w:t xml:space="preserve"> function of macrophages and the activity of killer T cells.</w:t>
      </w:r>
      <w:hyperlink r:id="rId331" w:anchor="cite_note-Alberts-7" w:history="1">
        <w:r w:rsidRPr="00CF6D50">
          <w:rPr>
            <w:rStyle w:val="Hyperlink"/>
            <w:rFonts w:ascii="Arial" w:hAnsi="Arial" w:cs="Arial"/>
            <w:color w:val="000000" w:themeColor="text1"/>
            <w:sz w:val="17"/>
            <w:szCs w:val="17"/>
            <w:u w:val="none"/>
            <w:vertAlign w:val="superscript"/>
          </w:rPr>
          <w:t>[7]</w:t>
        </w:r>
      </w:hyperlink>
      <w:r w:rsidRPr="00CF6D50">
        <w:rPr>
          <w:rFonts w:ascii="Arial" w:hAnsi="Arial" w:cs="Arial"/>
          <w:color w:val="000000" w:themeColor="text1"/>
          <w:sz w:val="21"/>
          <w:szCs w:val="21"/>
        </w:rPr>
        <w:t xml:space="preserve"> In addition, helper T cell activation causes an upregulation of molecules expressed on the T cell's surface, such as CD40 ligand (also called </w:t>
      </w:r>
      <w:hyperlink r:id="rId332" w:tooltip="CD154" w:history="1">
        <w:r w:rsidRPr="00CF6D50">
          <w:rPr>
            <w:rStyle w:val="Hyperlink"/>
            <w:rFonts w:ascii="Arial" w:hAnsi="Arial" w:cs="Arial"/>
            <w:color w:val="000000" w:themeColor="text1"/>
            <w:sz w:val="21"/>
            <w:szCs w:val="21"/>
            <w:u w:val="none"/>
          </w:rPr>
          <w:t>CD154</w:t>
        </w:r>
      </w:hyperlink>
      <w:r w:rsidRPr="00CF6D50">
        <w:rPr>
          <w:rFonts w:ascii="Arial" w:hAnsi="Arial" w:cs="Arial"/>
          <w:color w:val="000000" w:themeColor="text1"/>
          <w:sz w:val="21"/>
          <w:szCs w:val="21"/>
        </w:rPr>
        <w:t>), which provide extra stimulatory signals typically required to activate antibody-producing B cells</w:t>
      </w:r>
    </w:p>
    <w:p w:rsidR="005E6A4F" w:rsidRDefault="005E6A4F" w:rsidP="005E6A4F">
      <w:pPr>
        <w:spacing w:after="100" w:afterAutospacing="1" w:line="240" w:lineRule="atLeast"/>
        <w:rPr>
          <w:b/>
          <w:color w:val="000000" w:themeColor="text1"/>
          <w:lang w:val="en"/>
        </w:rPr>
      </w:pPr>
      <w:r>
        <w:rPr>
          <w:b/>
          <w:color w:val="000000" w:themeColor="text1"/>
          <w:lang w:val="en"/>
        </w:rPr>
        <w:t>Sleep and rest</w:t>
      </w:r>
    </w:p>
    <w:p w:rsidR="00CF6D50" w:rsidRPr="005E6A4F" w:rsidRDefault="00CF6D50" w:rsidP="005E6A4F">
      <w:pPr>
        <w:spacing w:after="100" w:afterAutospacing="1" w:line="240" w:lineRule="atLeast"/>
        <w:rPr>
          <w:b/>
          <w:color w:val="000000" w:themeColor="text1"/>
          <w:lang w:val="en"/>
        </w:rPr>
      </w:pPr>
      <w:r w:rsidRPr="00CF6D50">
        <w:rPr>
          <w:rFonts w:ascii="Arial" w:hAnsi="Arial" w:cs="Arial"/>
          <w:color w:val="000000" w:themeColor="text1"/>
          <w:sz w:val="21"/>
          <w:szCs w:val="21"/>
        </w:rPr>
        <w:t xml:space="preserve">When suffering from sleep deprivation, active immunizations may have a diminished effect and may result in lower antibody production, and a lower immune response, than would be noted in a well-rested individual. Additionally, proteins such as </w:t>
      </w:r>
      <w:hyperlink r:id="rId333" w:tooltip="NFIL3" w:history="1">
        <w:r w:rsidRPr="00CF6D50">
          <w:rPr>
            <w:rStyle w:val="Hyperlink"/>
            <w:rFonts w:ascii="Arial" w:hAnsi="Arial" w:cs="Arial"/>
            <w:color w:val="000000" w:themeColor="text1"/>
            <w:sz w:val="21"/>
            <w:szCs w:val="21"/>
            <w:u w:val="none"/>
          </w:rPr>
          <w:t>NFIL3</w:t>
        </w:r>
      </w:hyperlink>
      <w:r w:rsidRPr="00CF6D50">
        <w:rPr>
          <w:rFonts w:ascii="Arial" w:hAnsi="Arial" w:cs="Arial"/>
          <w:color w:val="000000" w:themeColor="text1"/>
          <w:sz w:val="21"/>
          <w:szCs w:val="21"/>
        </w:rPr>
        <w:t>, which have been shown to be closely intertwined with both T-cell differentiation and our circadian rhythms, can be affected through the disturbance of natural light and dark cycles through instances of sleep deprivation, shift work, etc. As a result, these disruptions can lead to an increase in chronic conditions such as heart disease, chronic pain, and asthma.</w:t>
      </w:r>
      <w:hyperlink r:id="rId334" w:anchor="cite_note-90" w:history="1">
        <w:r w:rsidRPr="00CF6D50">
          <w:rPr>
            <w:rStyle w:val="Hyperlink"/>
            <w:rFonts w:ascii="Arial" w:hAnsi="Arial" w:cs="Arial"/>
            <w:color w:val="000000" w:themeColor="text1"/>
            <w:sz w:val="17"/>
            <w:szCs w:val="17"/>
            <w:u w:val="none"/>
            <w:vertAlign w:val="superscript"/>
          </w:rPr>
          <w:t>[90]</w:t>
        </w:r>
      </w:hyperlink>
      <w:r w:rsidRPr="00CF6D50">
        <w:rPr>
          <w:rFonts w:ascii="Arial" w:hAnsi="Arial" w:cs="Arial"/>
          <w:color w:val="000000" w:themeColor="text1"/>
          <w:sz w:val="21"/>
          <w:szCs w:val="21"/>
        </w:rPr>
        <w:t xml:space="preserve"> In addition to the negative consequences of sleep deprivation, sleep and the intertwined circadian system have been shown to have strong regulatory effects on immunological functions affecting both the innate and the adaptive immunity. First, during the early slow-wave-sleep stage, a sudden drop in blood levels of </w:t>
      </w:r>
      <w:hyperlink r:id="rId335" w:tooltip="Cortisol" w:history="1">
        <w:r w:rsidRPr="00CF6D50">
          <w:rPr>
            <w:rStyle w:val="Hyperlink"/>
            <w:rFonts w:ascii="Arial" w:hAnsi="Arial" w:cs="Arial"/>
            <w:color w:val="000000" w:themeColor="text1"/>
            <w:sz w:val="21"/>
            <w:szCs w:val="21"/>
            <w:u w:val="none"/>
          </w:rPr>
          <w:t>cortisol</w:t>
        </w:r>
      </w:hyperlink>
      <w:r w:rsidRPr="00CF6D50">
        <w:rPr>
          <w:rFonts w:ascii="Arial" w:hAnsi="Arial" w:cs="Arial"/>
          <w:color w:val="000000" w:themeColor="text1"/>
          <w:sz w:val="21"/>
          <w:szCs w:val="21"/>
        </w:rPr>
        <w:t xml:space="preserve">, </w:t>
      </w:r>
      <w:hyperlink r:id="rId336" w:tooltip="Epinephrine" w:history="1">
        <w:r w:rsidRPr="00CF6D50">
          <w:rPr>
            <w:rStyle w:val="Hyperlink"/>
            <w:rFonts w:ascii="Arial" w:hAnsi="Arial" w:cs="Arial"/>
            <w:color w:val="000000" w:themeColor="text1"/>
            <w:sz w:val="21"/>
            <w:szCs w:val="21"/>
            <w:u w:val="none"/>
          </w:rPr>
          <w:t>epinephrine</w:t>
        </w:r>
      </w:hyperlink>
      <w:r w:rsidRPr="00CF6D50">
        <w:rPr>
          <w:rFonts w:ascii="Arial" w:hAnsi="Arial" w:cs="Arial"/>
          <w:color w:val="000000" w:themeColor="text1"/>
          <w:sz w:val="21"/>
          <w:szCs w:val="21"/>
        </w:rPr>
        <w:t xml:space="preserve">, and </w:t>
      </w:r>
      <w:hyperlink r:id="rId337" w:tooltip="Norepinephrine" w:history="1">
        <w:r w:rsidRPr="00CF6D50">
          <w:rPr>
            <w:rStyle w:val="Hyperlink"/>
            <w:rFonts w:ascii="Arial" w:hAnsi="Arial" w:cs="Arial"/>
            <w:color w:val="000000" w:themeColor="text1"/>
            <w:sz w:val="21"/>
            <w:szCs w:val="21"/>
            <w:u w:val="none"/>
          </w:rPr>
          <w:t>norepinephrine</w:t>
        </w:r>
      </w:hyperlink>
      <w:r w:rsidRPr="00CF6D50">
        <w:rPr>
          <w:rFonts w:ascii="Arial" w:hAnsi="Arial" w:cs="Arial"/>
          <w:color w:val="000000" w:themeColor="text1"/>
          <w:sz w:val="21"/>
          <w:szCs w:val="21"/>
        </w:rPr>
        <w:t xml:space="preserve"> induce increased blood levels of the hormones leptin, pituitary growth hormone, and prolactin. These signals induce a pro-inflammatory state through the production of the pro-inflammatory cytokines interleukin-1, </w:t>
      </w:r>
      <w:hyperlink r:id="rId338" w:tooltip="Interleukin-12" w:history="1">
        <w:r w:rsidRPr="00CF6D50">
          <w:rPr>
            <w:rStyle w:val="Hyperlink"/>
            <w:rFonts w:ascii="Arial" w:hAnsi="Arial" w:cs="Arial"/>
            <w:color w:val="000000" w:themeColor="text1"/>
            <w:sz w:val="21"/>
            <w:szCs w:val="21"/>
            <w:u w:val="none"/>
          </w:rPr>
          <w:t>interleukin-12</w:t>
        </w:r>
      </w:hyperlink>
      <w:r w:rsidRPr="00CF6D50">
        <w:rPr>
          <w:rFonts w:ascii="Arial" w:hAnsi="Arial" w:cs="Arial"/>
          <w:color w:val="000000" w:themeColor="text1"/>
          <w:sz w:val="21"/>
          <w:szCs w:val="21"/>
        </w:rPr>
        <w:t xml:space="preserve">, </w:t>
      </w:r>
      <w:hyperlink r:id="rId339" w:tooltip="TNF-alpha" w:history="1">
        <w:r w:rsidRPr="00CF6D50">
          <w:rPr>
            <w:rStyle w:val="Hyperlink"/>
            <w:rFonts w:ascii="Arial" w:hAnsi="Arial" w:cs="Arial"/>
            <w:color w:val="000000" w:themeColor="text1"/>
            <w:sz w:val="21"/>
            <w:szCs w:val="21"/>
            <w:u w:val="none"/>
          </w:rPr>
          <w:t>TNF-alpha</w:t>
        </w:r>
      </w:hyperlink>
      <w:r w:rsidRPr="00CF6D50">
        <w:rPr>
          <w:rFonts w:ascii="Arial" w:hAnsi="Arial" w:cs="Arial"/>
          <w:color w:val="000000" w:themeColor="text1"/>
          <w:sz w:val="21"/>
          <w:szCs w:val="21"/>
        </w:rPr>
        <w:t xml:space="preserve"> and </w:t>
      </w:r>
      <w:hyperlink r:id="rId340" w:tooltip="IFN-gamma" w:history="1">
        <w:r w:rsidRPr="00CF6D50">
          <w:rPr>
            <w:rStyle w:val="Hyperlink"/>
            <w:rFonts w:ascii="Arial" w:hAnsi="Arial" w:cs="Arial"/>
            <w:color w:val="000000" w:themeColor="text1"/>
            <w:sz w:val="21"/>
            <w:szCs w:val="21"/>
            <w:u w:val="none"/>
          </w:rPr>
          <w:t>IFN-gamma</w:t>
        </w:r>
      </w:hyperlink>
      <w:r w:rsidRPr="00CF6D50">
        <w:rPr>
          <w:rFonts w:ascii="Arial" w:hAnsi="Arial" w:cs="Arial"/>
          <w:color w:val="000000" w:themeColor="text1"/>
          <w:sz w:val="21"/>
          <w:szCs w:val="21"/>
        </w:rPr>
        <w:t xml:space="preserve">. These cytokines then stimulate immune functions such as immune cells activation, proliferation, and differentiation. It is during this time that undifferentiated, or less differentiated, like naïve and central memory T cells, peak (i.e. during a time of a slowly evolving adaptive immune response). In addition to these effects, the milieu of hormones produced at this time (leptin, pituitary growth hormone, and prolactin) support the interactions between APCs and T-cells, a shift of the </w:t>
      </w:r>
      <w:hyperlink r:id="rId341" w:tooltip="Th1 cell" w:history="1">
        <w:r w:rsidRPr="00CF6D50">
          <w:rPr>
            <w:rStyle w:val="Hyperlink"/>
            <w:rFonts w:ascii="Arial" w:hAnsi="Arial" w:cs="Arial"/>
            <w:color w:val="000000" w:themeColor="text1"/>
            <w:sz w:val="21"/>
            <w:szCs w:val="21"/>
            <w:u w:val="none"/>
          </w:rPr>
          <w:t>T</w:t>
        </w:r>
        <w:r w:rsidRPr="00CF6D50">
          <w:rPr>
            <w:rStyle w:val="Hyperlink"/>
            <w:rFonts w:ascii="Arial" w:hAnsi="Arial" w:cs="Arial"/>
            <w:color w:val="000000" w:themeColor="text1"/>
            <w:sz w:val="17"/>
            <w:szCs w:val="17"/>
            <w:u w:val="none"/>
            <w:vertAlign w:val="subscript"/>
          </w:rPr>
          <w:t>h</w:t>
        </w:r>
        <w:r w:rsidRPr="00CF6D50">
          <w:rPr>
            <w:rStyle w:val="Hyperlink"/>
            <w:rFonts w:ascii="Arial" w:hAnsi="Arial" w:cs="Arial"/>
            <w:color w:val="000000" w:themeColor="text1"/>
            <w:sz w:val="21"/>
            <w:szCs w:val="21"/>
            <w:u w:val="none"/>
          </w:rPr>
          <w:t>1/T</w:t>
        </w:r>
        <w:r w:rsidRPr="00CF6D50">
          <w:rPr>
            <w:rStyle w:val="Hyperlink"/>
            <w:rFonts w:ascii="Arial" w:hAnsi="Arial" w:cs="Arial"/>
            <w:color w:val="000000" w:themeColor="text1"/>
            <w:sz w:val="17"/>
            <w:szCs w:val="17"/>
            <w:u w:val="none"/>
            <w:vertAlign w:val="subscript"/>
          </w:rPr>
          <w:t>h</w:t>
        </w:r>
        <w:r w:rsidRPr="00CF6D50">
          <w:rPr>
            <w:rStyle w:val="Hyperlink"/>
            <w:rFonts w:ascii="Arial" w:hAnsi="Arial" w:cs="Arial"/>
            <w:color w:val="000000" w:themeColor="text1"/>
            <w:sz w:val="21"/>
            <w:szCs w:val="21"/>
            <w:u w:val="none"/>
          </w:rPr>
          <w:t>2</w:t>
        </w:r>
      </w:hyperlink>
      <w:r w:rsidRPr="00CF6D50">
        <w:rPr>
          <w:rFonts w:ascii="Arial" w:hAnsi="Arial" w:cs="Arial"/>
          <w:color w:val="000000" w:themeColor="text1"/>
          <w:sz w:val="21"/>
          <w:szCs w:val="21"/>
        </w:rPr>
        <w:t xml:space="preserve"> cytokine balance towards one that supports T</w:t>
      </w:r>
      <w:r w:rsidRPr="00CF6D50">
        <w:rPr>
          <w:rFonts w:ascii="Arial" w:hAnsi="Arial" w:cs="Arial"/>
          <w:color w:val="000000" w:themeColor="text1"/>
          <w:sz w:val="17"/>
          <w:szCs w:val="17"/>
          <w:vertAlign w:val="subscript"/>
        </w:rPr>
        <w:t>h</w:t>
      </w:r>
      <w:r w:rsidRPr="00CF6D50">
        <w:rPr>
          <w:rFonts w:ascii="Arial" w:hAnsi="Arial" w:cs="Arial"/>
          <w:color w:val="000000" w:themeColor="text1"/>
          <w:sz w:val="21"/>
          <w:szCs w:val="21"/>
        </w:rPr>
        <w:t xml:space="preserve">1, an increase in overall </w:t>
      </w:r>
      <w:proofErr w:type="spellStart"/>
      <w:r w:rsidRPr="00CF6D50">
        <w:rPr>
          <w:rFonts w:ascii="Arial" w:hAnsi="Arial" w:cs="Arial"/>
          <w:color w:val="000000" w:themeColor="text1"/>
          <w:sz w:val="21"/>
          <w:szCs w:val="21"/>
        </w:rPr>
        <w:t>T</w:t>
      </w:r>
      <w:r w:rsidRPr="00CF6D50">
        <w:rPr>
          <w:rFonts w:ascii="Arial" w:hAnsi="Arial" w:cs="Arial"/>
          <w:color w:val="000000" w:themeColor="text1"/>
          <w:sz w:val="17"/>
          <w:szCs w:val="17"/>
          <w:vertAlign w:val="subscript"/>
        </w:rPr>
        <w:t>h</w:t>
      </w:r>
      <w:proofErr w:type="spellEnd"/>
      <w:r w:rsidRPr="00CF6D50">
        <w:rPr>
          <w:rFonts w:ascii="Arial" w:hAnsi="Arial" w:cs="Arial"/>
          <w:color w:val="000000" w:themeColor="text1"/>
          <w:sz w:val="21"/>
          <w:szCs w:val="21"/>
        </w:rPr>
        <w:t xml:space="preserve"> cell proliferation, and naïve T cell migration to lymph nodes. This milieu is also thought to support the formation of long-lasting immune memory through the initiation of Th1 immune responses.</w:t>
      </w:r>
      <w:hyperlink r:id="rId342" w:anchor="cite_note-Sleep_and_immune_function-91" w:history="1">
        <w:r w:rsidRPr="00CF6D50">
          <w:rPr>
            <w:rStyle w:val="Hyperlink"/>
            <w:rFonts w:ascii="Arial" w:hAnsi="Arial" w:cs="Arial"/>
            <w:color w:val="000000" w:themeColor="text1"/>
            <w:sz w:val="17"/>
            <w:szCs w:val="17"/>
            <w:u w:val="none"/>
            <w:vertAlign w:val="superscript"/>
          </w:rPr>
          <w:t>[91]</w:t>
        </w:r>
      </w:hyperlink>
    </w:p>
    <w:p w:rsidR="00CF6D50" w:rsidRPr="00CF6D50" w:rsidRDefault="00CF6D50" w:rsidP="00157810">
      <w:pPr>
        <w:spacing w:before="100" w:beforeAutospacing="1" w:after="100" w:afterAutospacing="1"/>
        <w:rPr>
          <w:color w:val="000000" w:themeColor="text1"/>
          <w:lang w:val="en"/>
        </w:rPr>
      </w:pPr>
    </w:p>
    <w:p w:rsidR="004326B6" w:rsidRPr="004326B6" w:rsidRDefault="004326B6" w:rsidP="005E6A4F">
      <w:pPr>
        <w:spacing w:before="166" w:after="166"/>
        <w:rPr>
          <w:rFonts w:ascii="&amp;quot" w:hAnsi="&amp;quot"/>
          <w:color w:val="000000"/>
          <w:sz w:val="28"/>
          <w:szCs w:val="28"/>
        </w:rPr>
      </w:pPr>
      <w:r w:rsidRPr="005E6A4F">
        <w:rPr>
          <w:rFonts w:ascii="&amp;quot" w:hAnsi="&amp;quot"/>
          <w:color w:val="000000"/>
          <w:sz w:val="28"/>
          <w:szCs w:val="28"/>
        </w:rPr>
        <w:t>Anemia</w:t>
      </w:r>
    </w:p>
    <w:p w:rsidR="005E6A4F" w:rsidRPr="005E6A4F" w:rsidRDefault="005E6A4F" w:rsidP="005E6A4F">
      <w:pPr>
        <w:spacing w:before="166" w:after="166"/>
        <w:rPr>
          <w:rFonts w:ascii="&amp;quot" w:hAnsi="&amp;quot"/>
          <w:color w:val="000000"/>
        </w:rPr>
      </w:pPr>
      <w:r w:rsidRPr="005E6A4F">
        <w:rPr>
          <w:rFonts w:ascii="&amp;quot" w:hAnsi="&amp;quot"/>
          <w:color w:val="000000"/>
        </w:rPr>
        <w:lastRenderedPageBreak/>
        <w:t>Anemia is described as a reduction in the proportion of the red blood cells. Anemia is not a diagnosis, but a presentation of an underlying condition. Whether or not a patient becomes symptomatic depends on the etiology of anemia, the acuity of onset, and the presence of other comorbidities, especially the presence of cardiovascular disease. Most patients experience some symptoms related to anemia when the hemoglobin drops below 7.0 g/</w:t>
      </w:r>
      <w:proofErr w:type="spellStart"/>
      <w:r w:rsidRPr="005E6A4F">
        <w:rPr>
          <w:rFonts w:ascii="&amp;quot" w:hAnsi="&amp;quot"/>
          <w:color w:val="000000"/>
        </w:rPr>
        <w:t>dL</w:t>
      </w:r>
      <w:proofErr w:type="spellEnd"/>
      <w:r w:rsidRPr="005E6A4F">
        <w:rPr>
          <w:rFonts w:ascii="&amp;quot" w:hAnsi="&amp;quot"/>
          <w:color w:val="000000"/>
        </w:rPr>
        <w:t>. </w:t>
      </w:r>
    </w:p>
    <w:p w:rsidR="005E6A4F" w:rsidRPr="005E6A4F" w:rsidRDefault="005E6A4F" w:rsidP="005E6A4F">
      <w:pPr>
        <w:spacing w:before="166" w:after="166"/>
        <w:rPr>
          <w:rFonts w:ascii="&amp;quot" w:hAnsi="&amp;quot"/>
          <w:color w:val="000000"/>
        </w:rPr>
      </w:pPr>
      <w:r w:rsidRPr="005E6A4F">
        <w:rPr>
          <w:rFonts w:ascii="&amp;quot" w:hAnsi="&amp;quot"/>
          <w:color w:val="000000"/>
        </w:rPr>
        <w:t>Erythropoietin (EPO), which is made in the kidney, is the major stimulator of red blood cell (RBC) production. Tissue hypoxia is the major stimulator of EPO production, and levels of EPO are generally inversely proportional to the hemoglobin concentration. In other words, an individual who is anemic with low hemoglobin has elevated levels of EPO. However, levels of EPO are lower than expected in anemic patients with renal failure. In anemia of chronic disease (AOCD), EPO levels are generally elevated, but not as high as they should be, demonstrating a relative deficiency of EPO.</w:t>
      </w:r>
    </w:p>
    <w:p w:rsidR="005E6A4F" w:rsidRPr="005E6A4F" w:rsidRDefault="005E6A4F" w:rsidP="005E6A4F">
      <w:pPr>
        <w:spacing w:before="166" w:after="166"/>
        <w:rPr>
          <w:rFonts w:ascii="&amp;quot" w:hAnsi="&amp;quot"/>
          <w:color w:val="000000"/>
        </w:rPr>
      </w:pPr>
      <w:r w:rsidRPr="005E6A4F">
        <w:rPr>
          <w:rFonts w:ascii="&amp;quot" w:hAnsi="&amp;quot"/>
          <w:color w:val="000000"/>
        </w:rPr>
        <w:t>Normal Hemoglobin (</w:t>
      </w:r>
      <w:proofErr w:type="spellStart"/>
      <w:r w:rsidRPr="005E6A4F">
        <w:rPr>
          <w:rFonts w:ascii="&amp;quot" w:hAnsi="&amp;quot"/>
          <w:color w:val="000000"/>
        </w:rPr>
        <w:t>Hgb</w:t>
      </w:r>
      <w:proofErr w:type="spellEnd"/>
      <w:r w:rsidRPr="005E6A4F">
        <w:rPr>
          <w:rFonts w:ascii="&amp;quot" w:hAnsi="&amp;quot"/>
          <w:color w:val="000000"/>
        </w:rPr>
        <w:t>)-specific laboratory cut-offs will differ slightly, but in general, the normal ranges are as follows:</w:t>
      </w:r>
    </w:p>
    <w:p w:rsidR="005E6A4F" w:rsidRPr="005E6A4F" w:rsidRDefault="005E6A4F" w:rsidP="005E6A4F">
      <w:pPr>
        <w:numPr>
          <w:ilvl w:val="0"/>
          <w:numId w:val="1"/>
        </w:numPr>
        <w:spacing w:before="166" w:after="166"/>
        <w:rPr>
          <w:rFonts w:ascii="&amp;quot" w:hAnsi="&amp;quot"/>
          <w:color w:val="000000"/>
        </w:rPr>
      </w:pPr>
      <w:r w:rsidRPr="005E6A4F">
        <w:rPr>
          <w:rFonts w:ascii="&amp;quot" w:hAnsi="&amp;quot"/>
          <w:color w:val="000000"/>
        </w:rPr>
        <w:t>13.5 to 18.0 g/</w:t>
      </w:r>
      <w:proofErr w:type="spellStart"/>
      <w:r w:rsidRPr="005E6A4F">
        <w:rPr>
          <w:rFonts w:ascii="&amp;quot" w:hAnsi="&amp;quot"/>
          <w:color w:val="000000"/>
        </w:rPr>
        <w:t>dL</w:t>
      </w:r>
      <w:proofErr w:type="spellEnd"/>
      <w:r w:rsidRPr="005E6A4F">
        <w:rPr>
          <w:rFonts w:ascii="&amp;quot" w:hAnsi="&amp;quot"/>
          <w:color w:val="000000"/>
        </w:rPr>
        <w:t xml:space="preserve"> in men</w:t>
      </w:r>
    </w:p>
    <w:p w:rsidR="005E6A4F" w:rsidRPr="005E6A4F" w:rsidRDefault="005E6A4F" w:rsidP="005E6A4F">
      <w:pPr>
        <w:numPr>
          <w:ilvl w:val="0"/>
          <w:numId w:val="1"/>
        </w:numPr>
        <w:spacing w:before="166" w:after="166"/>
        <w:rPr>
          <w:rFonts w:ascii="&amp;quot" w:hAnsi="&amp;quot"/>
          <w:color w:val="000000"/>
        </w:rPr>
      </w:pPr>
      <w:r w:rsidRPr="005E6A4F">
        <w:rPr>
          <w:rFonts w:ascii="&amp;quot" w:hAnsi="&amp;quot"/>
          <w:color w:val="000000"/>
        </w:rPr>
        <w:t>12.0 to 15.0 g/</w:t>
      </w:r>
      <w:proofErr w:type="spellStart"/>
      <w:r w:rsidRPr="005E6A4F">
        <w:rPr>
          <w:rFonts w:ascii="&amp;quot" w:hAnsi="&amp;quot"/>
          <w:color w:val="000000"/>
        </w:rPr>
        <w:t>dL</w:t>
      </w:r>
      <w:proofErr w:type="spellEnd"/>
      <w:r w:rsidRPr="005E6A4F">
        <w:rPr>
          <w:rFonts w:ascii="&amp;quot" w:hAnsi="&amp;quot"/>
          <w:color w:val="000000"/>
        </w:rPr>
        <w:t xml:space="preserve"> in women</w:t>
      </w:r>
    </w:p>
    <w:p w:rsidR="005E6A4F" w:rsidRPr="005E6A4F" w:rsidRDefault="005E6A4F" w:rsidP="005E6A4F">
      <w:pPr>
        <w:numPr>
          <w:ilvl w:val="0"/>
          <w:numId w:val="1"/>
        </w:numPr>
        <w:spacing w:before="166" w:after="166"/>
        <w:rPr>
          <w:rFonts w:ascii="&amp;quot" w:hAnsi="&amp;quot"/>
          <w:color w:val="000000"/>
        </w:rPr>
      </w:pPr>
      <w:r w:rsidRPr="005E6A4F">
        <w:rPr>
          <w:rFonts w:ascii="&amp;quot" w:hAnsi="&amp;quot"/>
          <w:color w:val="000000"/>
        </w:rPr>
        <w:t>11.0 to 16.0 g/</w:t>
      </w:r>
      <w:proofErr w:type="spellStart"/>
      <w:r w:rsidRPr="005E6A4F">
        <w:rPr>
          <w:rFonts w:ascii="&amp;quot" w:hAnsi="&amp;quot"/>
          <w:color w:val="000000"/>
        </w:rPr>
        <w:t>dL</w:t>
      </w:r>
      <w:proofErr w:type="spellEnd"/>
      <w:r w:rsidRPr="005E6A4F">
        <w:rPr>
          <w:rFonts w:ascii="&amp;quot" w:hAnsi="&amp;quot"/>
          <w:color w:val="000000"/>
        </w:rPr>
        <w:t xml:space="preserve"> in children</w:t>
      </w:r>
    </w:p>
    <w:p w:rsidR="007503CB" w:rsidRPr="002C48D7" w:rsidRDefault="005E6A4F" w:rsidP="002C48D7">
      <w:pPr>
        <w:numPr>
          <w:ilvl w:val="0"/>
          <w:numId w:val="1"/>
        </w:numPr>
        <w:spacing w:before="166" w:after="166"/>
        <w:rPr>
          <w:rFonts w:ascii="&amp;quot" w:hAnsi="&amp;quot"/>
          <w:color w:val="000000"/>
        </w:rPr>
      </w:pPr>
      <w:r w:rsidRPr="005E6A4F">
        <w:rPr>
          <w:rFonts w:ascii="&amp;quot" w:hAnsi="&amp;quot"/>
          <w:color w:val="000000"/>
        </w:rPr>
        <w:t>Varied in pregnancy depending on the trimester, but generally greater than 10.0 g/</w:t>
      </w:r>
      <w:proofErr w:type="spellStart"/>
      <w:r w:rsidRPr="005E6A4F">
        <w:rPr>
          <w:rFonts w:ascii="&amp;quot" w:hAnsi="&amp;quot"/>
          <w:color w:val="000000"/>
        </w:rPr>
        <w:t>dL</w:t>
      </w:r>
      <w:proofErr w:type="spellEnd"/>
    </w:p>
    <w:p w:rsidR="004326B6" w:rsidRDefault="004326B6" w:rsidP="004326B6">
      <w:pPr>
        <w:pStyle w:val="NormalWeb"/>
        <w:spacing w:before="166" w:beforeAutospacing="0" w:after="166" w:afterAutospacing="0"/>
        <w:rPr>
          <w:rFonts w:ascii="&amp;quot" w:hAnsi="&amp;quot"/>
          <w:color w:val="000000"/>
        </w:rPr>
      </w:pPr>
      <w:r w:rsidRPr="002C48D7">
        <w:rPr>
          <w:rFonts w:ascii="&amp;quot" w:hAnsi="&amp;quot"/>
          <w:b/>
          <w:color w:val="000000"/>
        </w:rPr>
        <w:t>The etiology</w:t>
      </w:r>
      <w:r>
        <w:rPr>
          <w:rFonts w:ascii="&amp;quot" w:hAnsi="&amp;quot"/>
          <w:color w:val="000000"/>
        </w:rPr>
        <w:t xml:space="preserve"> of anemia depends on whether the anemia is </w:t>
      </w:r>
      <w:proofErr w:type="spellStart"/>
      <w:r>
        <w:rPr>
          <w:rFonts w:ascii="&amp;quot" w:hAnsi="&amp;quot"/>
          <w:color w:val="000000"/>
        </w:rPr>
        <w:t>hypoproliferative</w:t>
      </w:r>
      <w:proofErr w:type="spellEnd"/>
      <w:r>
        <w:rPr>
          <w:rFonts w:ascii="&amp;quot" w:hAnsi="&amp;quot"/>
          <w:color w:val="000000"/>
        </w:rPr>
        <w:t xml:space="preserve"> (i.e., corrected reticulocyte count &lt;2%) or </w:t>
      </w:r>
      <w:proofErr w:type="spellStart"/>
      <w:r>
        <w:rPr>
          <w:rFonts w:ascii="&amp;quot" w:hAnsi="&amp;quot"/>
          <w:color w:val="000000"/>
        </w:rPr>
        <w:t>hyperproliferative</w:t>
      </w:r>
      <w:proofErr w:type="spellEnd"/>
      <w:r>
        <w:rPr>
          <w:rFonts w:ascii="&amp;quot" w:hAnsi="&amp;quot"/>
          <w:color w:val="000000"/>
        </w:rPr>
        <w:t xml:space="preserve"> (i.e., corrected reticulocyte count &gt;2%).</w:t>
      </w:r>
    </w:p>
    <w:p w:rsidR="004326B6" w:rsidRDefault="004326B6" w:rsidP="004326B6">
      <w:pPr>
        <w:pStyle w:val="NormalWeb"/>
        <w:spacing w:before="166" w:beforeAutospacing="0" w:after="166" w:afterAutospacing="0"/>
        <w:rPr>
          <w:rFonts w:ascii="&amp;quot" w:hAnsi="&amp;quot"/>
          <w:color w:val="000000"/>
        </w:rPr>
      </w:pPr>
      <w:proofErr w:type="spellStart"/>
      <w:r>
        <w:rPr>
          <w:rFonts w:ascii="&amp;quot" w:hAnsi="&amp;quot"/>
          <w:color w:val="000000"/>
        </w:rPr>
        <w:t>Hypoproliferative</w:t>
      </w:r>
      <w:proofErr w:type="spellEnd"/>
      <w:r>
        <w:rPr>
          <w:rFonts w:ascii="&amp;quot" w:hAnsi="&amp;quot"/>
          <w:color w:val="000000"/>
        </w:rPr>
        <w:t xml:space="preserve"> anemias are further divided by the mean corpuscular volume into microcytic anemia (MCV&lt;80 </w:t>
      </w:r>
      <w:proofErr w:type="spellStart"/>
      <w:r>
        <w:rPr>
          <w:rFonts w:ascii="&amp;quot" w:hAnsi="&amp;quot"/>
          <w:color w:val="000000"/>
        </w:rPr>
        <w:t>fl</w:t>
      </w:r>
      <w:proofErr w:type="spellEnd"/>
      <w:r>
        <w:rPr>
          <w:rFonts w:ascii="&amp;quot" w:hAnsi="&amp;quot"/>
          <w:color w:val="000000"/>
        </w:rPr>
        <w:t xml:space="preserve">), normocytic anemia (MCV 80-100 </w:t>
      </w:r>
      <w:proofErr w:type="spellStart"/>
      <w:r>
        <w:rPr>
          <w:rFonts w:ascii="&amp;quot" w:hAnsi="&amp;quot"/>
          <w:color w:val="000000"/>
        </w:rPr>
        <w:t>fl</w:t>
      </w:r>
      <w:proofErr w:type="spellEnd"/>
      <w:r>
        <w:rPr>
          <w:rFonts w:ascii="&amp;quot" w:hAnsi="&amp;quot"/>
          <w:color w:val="000000"/>
        </w:rPr>
        <w:t xml:space="preserve">), and macrocytic anemia (MCV&gt;100 </w:t>
      </w:r>
      <w:proofErr w:type="spellStart"/>
      <w:r>
        <w:rPr>
          <w:rFonts w:ascii="&amp;quot" w:hAnsi="&amp;quot"/>
          <w:color w:val="000000"/>
        </w:rPr>
        <w:t>fl</w:t>
      </w:r>
      <w:proofErr w:type="spellEnd"/>
      <w:r>
        <w:rPr>
          <w:rFonts w:ascii="&amp;quot" w:hAnsi="&amp;quot"/>
          <w:color w:val="000000"/>
        </w:rPr>
        <w:t>). </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 </w:t>
      </w:r>
      <w:r>
        <w:rPr>
          <w:rFonts w:ascii="&amp;quot" w:hAnsi="&amp;quot"/>
          <w:b/>
          <w:bCs/>
          <w:color w:val="000000"/>
        </w:rPr>
        <w:t xml:space="preserve">1) </w:t>
      </w:r>
      <w:proofErr w:type="spellStart"/>
      <w:r>
        <w:rPr>
          <w:rFonts w:ascii="&amp;quot" w:hAnsi="&amp;quot"/>
          <w:b/>
          <w:bCs/>
          <w:color w:val="000000"/>
        </w:rPr>
        <w:t>Hypoproliferative</w:t>
      </w:r>
      <w:proofErr w:type="spellEnd"/>
      <w:r>
        <w:rPr>
          <w:rFonts w:ascii="&amp;quot" w:hAnsi="&amp;quot"/>
          <w:b/>
          <w:bCs/>
          <w:color w:val="000000"/>
        </w:rPr>
        <w:t xml:space="preserve"> Microcytic Anemia (MCV&lt;80 </w:t>
      </w:r>
      <w:proofErr w:type="spellStart"/>
      <w:r>
        <w:rPr>
          <w:rFonts w:ascii="&amp;quot" w:hAnsi="&amp;quot"/>
          <w:b/>
          <w:bCs/>
          <w:color w:val="000000"/>
        </w:rPr>
        <w:t>fl</w:t>
      </w:r>
      <w:proofErr w:type="spellEnd"/>
      <w:r>
        <w:rPr>
          <w:rFonts w:ascii="&amp;quot" w:hAnsi="&amp;quot"/>
          <w:b/>
          <w:bCs/>
          <w:color w:val="000000"/>
        </w:rPr>
        <w:t>)</w:t>
      </w:r>
    </w:p>
    <w:p w:rsidR="004326B6" w:rsidRDefault="004326B6" w:rsidP="004326B6">
      <w:pPr>
        <w:numPr>
          <w:ilvl w:val="0"/>
          <w:numId w:val="2"/>
        </w:numPr>
        <w:spacing w:before="166" w:after="166"/>
        <w:rPr>
          <w:rFonts w:ascii="&amp;quot" w:hAnsi="&amp;quot"/>
          <w:color w:val="000000"/>
        </w:rPr>
      </w:pPr>
      <w:r>
        <w:rPr>
          <w:rFonts w:ascii="&amp;quot" w:hAnsi="&amp;quot"/>
          <w:color w:val="000000"/>
        </w:rPr>
        <w:t>Iron deficiency anemia </w:t>
      </w:r>
      <w:hyperlink r:id="rId343" w:history="1">
        <w:r>
          <w:rPr>
            <w:rStyle w:val="Hyperlink"/>
            <w:rFonts w:ascii="&amp;quot" w:hAnsi="&amp;quot"/>
            <w:color w:val="2F4A8B"/>
          </w:rPr>
          <w:t>[1]</w:t>
        </w:r>
      </w:hyperlink>
    </w:p>
    <w:p w:rsidR="004326B6" w:rsidRDefault="004326B6" w:rsidP="004326B6">
      <w:pPr>
        <w:numPr>
          <w:ilvl w:val="0"/>
          <w:numId w:val="2"/>
        </w:numPr>
        <w:spacing w:before="166" w:after="166"/>
        <w:rPr>
          <w:rFonts w:ascii="&amp;quot" w:hAnsi="&amp;quot"/>
          <w:color w:val="000000"/>
        </w:rPr>
      </w:pPr>
      <w:r>
        <w:rPr>
          <w:rFonts w:ascii="&amp;quot" w:hAnsi="&amp;quot"/>
          <w:color w:val="000000"/>
        </w:rPr>
        <w:t>Anemia of chronic disease (AOCD)</w:t>
      </w:r>
    </w:p>
    <w:p w:rsidR="004326B6" w:rsidRDefault="004326B6" w:rsidP="004326B6">
      <w:pPr>
        <w:numPr>
          <w:ilvl w:val="0"/>
          <w:numId w:val="2"/>
        </w:numPr>
        <w:spacing w:before="166" w:after="166"/>
        <w:rPr>
          <w:rFonts w:ascii="&amp;quot" w:hAnsi="&amp;quot"/>
          <w:color w:val="000000"/>
        </w:rPr>
      </w:pPr>
      <w:proofErr w:type="spellStart"/>
      <w:r>
        <w:rPr>
          <w:rFonts w:ascii="&amp;quot" w:hAnsi="&amp;quot"/>
          <w:color w:val="000000"/>
        </w:rPr>
        <w:t>Sideroblastic</w:t>
      </w:r>
      <w:proofErr w:type="spellEnd"/>
      <w:r>
        <w:rPr>
          <w:rFonts w:ascii="&amp;quot" w:hAnsi="&amp;quot"/>
          <w:color w:val="000000"/>
        </w:rPr>
        <w:t xml:space="preserve"> anemia </w:t>
      </w:r>
      <w:hyperlink r:id="rId344" w:history="1">
        <w:r>
          <w:rPr>
            <w:rStyle w:val="Hyperlink"/>
            <w:rFonts w:ascii="&amp;quot" w:hAnsi="&amp;quot"/>
            <w:color w:val="2F4A8B"/>
          </w:rPr>
          <w:t>[2]</w:t>
        </w:r>
      </w:hyperlink>
      <w:r>
        <w:rPr>
          <w:rFonts w:ascii="&amp;quot" w:hAnsi="&amp;quot"/>
          <w:color w:val="000000"/>
        </w:rPr>
        <w:t> (may be associated with an elevated MCV as well, resulting in a dimorphic cell population)</w:t>
      </w:r>
    </w:p>
    <w:p w:rsidR="004326B6" w:rsidRDefault="004326B6" w:rsidP="004326B6">
      <w:pPr>
        <w:numPr>
          <w:ilvl w:val="0"/>
          <w:numId w:val="2"/>
        </w:numPr>
        <w:spacing w:before="166" w:after="166"/>
        <w:rPr>
          <w:rFonts w:ascii="&amp;quot" w:hAnsi="&amp;quot"/>
          <w:color w:val="000000"/>
        </w:rPr>
      </w:pPr>
      <w:r>
        <w:rPr>
          <w:rFonts w:ascii="&amp;quot" w:hAnsi="&amp;quot"/>
          <w:color w:val="000000"/>
        </w:rPr>
        <w:t>Thalassemia</w:t>
      </w:r>
    </w:p>
    <w:p w:rsidR="004326B6" w:rsidRDefault="004326B6" w:rsidP="004326B6">
      <w:pPr>
        <w:numPr>
          <w:ilvl w:val="0"/>
          <w:numId w:val="2"/>
        </w:numPr>
        <w:spacing w:before="166" w:after="166"/>
        <w:rPr>
          <w:rFonts w:ascii="&amp;quot" w:hAnsi="&amp;quot"/>
          <w:color w:val="000000"/>
        </w:rPr>
      </w:pPr>
      <w:r>
        <w:rPr>
          <w:rFonts w:ascii="&amp;quot" w:hAnsi="&amp;quot"/>
          <w:color w:val="000000"/>
        </w:rPr>
        <w:t>Lead poisoning </w:t>
      </w:r>
    </w:p>
    <w:p w:rsidR="004326B6" w:rsidRDefault="004326B6" w:rsidP="004326B6">
      <w:pPr>
        <w:pStyle w:val="NormalWeb"/>
        <w:spacing w:before="166" w:beforeAutospacing="0" w:after="166" w:afterAutospacing="0"/>
        <w:rPr>
          <w:rFonts w:ascii="&amp;quot" w:hAnsi="&amp;quot"/>
          <w:color w:val="000000"/>
        </w:rPr>
      </w:pPr>
      <w:r>
        <w:rPr>
          <w:rFonts w:ascii="&amp;quot" w:hAnsi="&amp;quot"/>
          <w:b/>
          <w:bCs/>
          <w:color w:val="000000"/>
        </w:rPr>
        <w:t xml:space="preserve">2) </w:t>
      </w:r>
      <w:proofErr w:type="spellStart"/>
      <w:r>
        <w:rPr>
          <w:rFonts w:ascii="&amp;quot" w:hAnsi="&amp;quot"/>
          <w:b/>
          <w:bCs/>
          <w:color w:val="000000"/>
        </w:rPr>
        <w:t>Hypoproliferative</w:t>
      </w:r>
      <w:proofErr w:type="spellEnd"/>
      <w:r>
        <w:rPr>
          <w:rFonts w:ascii="&amp;quot" w:hAnsi="&amp;quot"/>
          <w:b/>
          <w:bCs/>
          <w:color w:val="000000"/>
        </w:rPr>
        <w:t xml:space="preserve"> Normocytic Anemia (MCV 80-100 </w:t>
      </w:r>
      <w:proofErr w:type="spellStart"/>
      <w:r>
        <w:rPr>
          <w:rFonts w:ascii="&amp;quot" w:hAnsi="&amp;quot"/>
          <w:b/>
          <w:bCs/>
          <w:color w:val="000000"/>
        </w:rPr>
        <w:t>fL</w:t>
      </w:r>
      <w:proofErr w:type="spellEnd"/>
      <w:r>
        <w:rPr>
          <w:rFonts w:ascii="&amp;quot" w:hAnsi="&amp;quot"/>
          <w:b/>
          <w:bCs/>
          <w:color w:val="000000"/>
        </w:rPr>
        <w:t>)</w:t>
      </w:r>
    </w:p>
    <w:p w:rsidR="004326B6" w:rsidRDefault="004326B6" w:rsidP="004326B6">
      <w:pPr>
        <w:numPr>
          <w:ilvl w:val="0"/>
          <w:numId w:val="3"/>
        </w:numPr>
        <w:spacing w:before="166" w:after="166"/>
        <w:rPr>
          <w:rFonts w:ascii="&amp;quot" w:hAnsi="&amp;quot"/>
          <w:color w:val="000000"/>
        </w:rPr>
      </w:pPr>
      <w:r>
        <w:rPr>
          <w:rFonts w:ascii="&amp;quot" w:hAnsi="&amp;quot"/>
          <w:color w:val="000000"/>
        </w:rPr>
        <w:t>Anemia of chronic disease (AOCD)</w:t>
      </w:r>
    </w:p>
    <w:p w:rsidR="004326B6" w:rsidRDefault="004326B6" w:rsidP="004326B6">
      <w:pPr>
        <w:numPr>
          <w:ilvl w:val="0"/>
          <w:numId w:val="3"/>
        </w:numPr>
        <w:spacing w:before="166" w:after="166"/>
        <w:rPr>
          <w:rFonts w:ascii="&amp;quot" w:hAnsi="&amp;quot"/>
          <w:color w:val="000000"/>
        </w:rPr>
      </w:pPr>
      <w:r>
        <w:rPr>
          <w:rFonts w:ascii="&amp;quot" w:hAnsi="&amp;quot"/>
          <w:color w:val="000000"/>
        </w:rPr>
        <w:t>Renal failure</w:t>
      </w:r>
    </w:p>
    <w:p w:rsidR="004326B6" w:rsidRDefault="004326B6" w:rsidP="004326B6">
      <w:pPr>
        <w:numPr>
          <w:ilvl w:val="0"/>
          <w:numId w:val="3"/>
        </w:numPr>
        <w:spacing w:before="166" w:after="166"/>
        <w:rPr>
          <w:rFonts w:ascii="&amp;quot" w:hAnsi="&amp;quot"/>
          <w:color w:val="000000"/>
        </w:rPr>
      </w:pPr>
      <w:r>
        <w:rPr>
          <w:rFonts w:ascii="&amp;quot" w:hAnsi="&amp;quot"/>
          <w:color w:val="000000"/>
        </w:rPr>
        <w:t>Aplastic anemia</w:t>
      </w:r>
    </w:p>
    <w:p w:rsidR="004326B6" w:rsidRDefault="004326B6" w:rsidP="004326B6">
      <w:pPr>
        <w:numPr>
          <w:ilvl w:val="0"/>
          <w:numId w:val="3"/>
        </w:numPr>
        <w:spacing w:before="166" w:after="166"/>
        <w:rPr>
          <w:rFonts w:ascii="&amp;quot" w:hAnsi="&amp;quot"/>
          <w:color w:val="000000"/>
        </w:rPr>
      </w:pPr>
      <w:r>
        <w:rPr>
          <w:rFonts w:ascii="&amp;quot" w:hAnsi="&amp;quot"/>
          <w:color w:val="000000"/>
        </w:rPr>
        <w:t>Pure red cell aplasia</w:t>
      </w:r>
    </w:p>
    <w:p w:rsidR="004326B6" w:rsidRDefault="004326B6" w:rsidP="004326B6">
      <w:pPr>
        <w:numPr>
          <w:ilvl w:val="0"/>
          <w:numId w:val="3"/>
        </w:numPr>
        <w:spacing w:before="166" w:after="166"/>
        <w:rPr>
          <w:rFonts w:ascii="&amp;quot" w:hAnsi="&amp;quot"/>
          <w:color w:val="000000"/>
        </w:rPr>
      </w:pPr>
      <w:r>
        <w:rPr>
          <w:rFonts w:ascii="&amp;quot" w:hAnsi="&amp;quot"/>
          <w:color w:val="000000"/>
        </w:rPr>
        <w:lastRenderedPageBreak/>
        <w:t xml:space="preserve">Myelofibrosis or </w:t>
      </w:r>
      <w:proofErr w:type="spellStart"/>
      <w:r>
        <w:rPr>
          <w:rFonts w:ascii="&amp;quot" w:hAnsi="&amp;quot"/>
          <w:color w:val="000000"/>
        </w:rPr>
        <w:t>myelophthisic</w:t>
      </w:r>
      <w:proofErr w:type="spellEnd"/>
      <w:r>
        <w:rPr>
          <w:rFonts w:ascii="&amp;quot" w:hAnsi="&amp;quot"/>
          <w:color w:val="000000"/>
        </w:rPr>
        <w:t xml:space="preserve"> processes</w:t>
      </w:r>
    </w:p>
    <w:p w:rsidR="004326B6" w:rsidRDefault="004326B6" w:rsidP="004326B6">
      <w:pPr>
        <w:numPr>
          <w:ilvl w:val="0"/>
          <w:numId w:val="3"/>
        </w:numPr>
        <w:spacing w:before="166" w:after="166"/>
        <w:rPr>
          <w:rFonts w:ascii="&amp;quot" w:hAnsi="&amp;quot"/>
          <w:color w:val="000000"/>
        </w:rPr>
      </w:pPr>
      <w:r>
        <w:rPr>
          <w:rFonts w:ascii="&amp;quot" w:hAnsi="&amp;quot"/>
          <w:color w:val="000000"/>
        </w:rPr>
        <w:t>Multiple myeloma</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 xml:space="preserve">Macrocytic anemia can be caused by either a </w:t>
      </w:r>
      <w:proofErr w:type="spellStart"/>
      <w:r>
        <w:rPr>
          <w:rFonts w:ascii="&amp;quot" w:hAnsi="&amp;quot"/>
          <w:color w:val="000000"/>
        </w:rPr>
        <w:t>hypoproliferative</w:t>
      </w:r>
      <w:proofErr w:type="spellEnd"/>
      <w:r>
        <w:rPr>
          <w:rFonts w:ascii="&amp;quot" w:hAnsi="&amp;quot"/>
          <w:color w:val="000000"/>
        </w:rPr>
        <w:t xml:space="preserve"> disorder, hemolysis, or both. Thus, it is important to calculate the corrected reticulocyte count when evaluating a patient with macrocytic anemia. In </w:t>
      </w:r>
      <w:proofErr w:type="spellStart"/>
      <w:r>
        <w:rPr>
          <w:rFonts w:ascii="&amp;quot" w:hAnsi="&amp;quot"/>
          <w:color w:val="000000"/>
        </w:rPr>
        <w:t>hypoproliferative</w:t>
      </w:r>
      <w:proofErr w:type="spellEnd"/>
      <w:r>
        <w:rPr>
          <w:rFonts w:ascii="&amp;quot" w:hAnsi="&amp;quot"/>
          <w:color w:val="000000"/>
        </w:rPr>
        <w:t xml:space="preserve"> macrocytic anemia, the corrected reticulocyte count is &lt;2%, and the MCV is greater than 100 fl. But, if the reticulocyte count is &gt; 2%, hemolytic anemia should be considered.</w:t>
      </w:r>
    </w:p>
    <w:p w:rsidR="004326B6" w:rsidRDefault="004326B6" w:rsidP="004326B6">
      <w:pPr>
        <w:pStyle w:val="NormalWeb"/>
        <w:spacing w:before="166" w:beforeAutospacing="0" w:after="166" w:afterAutospacing="0"/>
        <w:rPr>
          <w:rFonts w:ascii="&amp;quot" w:hAnsi="&amp;quot"/>
          <w:color w:val="000000"/>
        </w:rPr>
      </w:pPr>
      <w:r>
        <w:rPr>
          <w:rFonts w:ascii="&amp;quot" w:hAnsi="&amp;quot"/>
          <w:b/>
          <w:bCs/>
          <w:color w:val="000000"/>
        </w:rPr>
        <w:t xml:space="preserve">3) </w:t>
      </w:r>
      <w:proofErr w:type="spellStart"/>
      <w:r>
        <w:rPr>
          <w:rFonts w:ascii="&amp;quot" w:hAnsi="&amp;quot"/>
          <w:b/>
          <w:bCs/>
          <w:color w:val="000000"/>
        </w:rPr>
        <w:t>Hypoproliferative</w:t>
      </w:r>
      <w:proofErr w:type="spellEnd"/>
      <w:r>
        <w:rPr>
          <w:rFonts w:ascii="&amp;quot" w:hAnsi="&amp;quot"/>
          <w:b/>
          <w:bCs/>
          <w:color w:val="000000"/>
        </w:rPr>
        <w:t xml:space="preserve"> Macrocytic Anemia (MCV&gt;100 </w:t>
      </w:r>
      <w:proofErr w:type="spellStart"/>
      <w:r>
        <w:rPr>
          <w:rFonts w:ascii="&amp;quot" w:hAnsi="&amp;quot"/>
          <w:b/>
          <w:bCs/>
          <w:color w:val="000000"/>
        </w:rPr>
        <w:t>fL</w:t>
      </w:r>
      <w:proofErr w:type="spellEnd"/>
      <w:r>
        <w:rPr>
          <w:rFonts w:ascii="&amp;quot" w:hAnsi="&amp;quot"/>
          <w:b/>
          <w:bCs/>
          <w:color w:val="000000"/>
        </w:rPr>
        <w:t>)</w:t>
      </w:r>
    </w:p>
    <w:p w:rsidR="004326B6" w:rsidRDefault="004326B6" w:rsidP="004326B6">
      <w:pPr>
        <w:numPr>
          <w:ilvl w:val="0"/>
          <w:numId w:val="4"/>
        </w:numPr>
        <w:spacing w:before="166" w:after="166"/>
        <w:rPr>
          <w:rFonts w:ascii="&amp;quot" w:hAnsi="&amp;quot"/>
          <w:color w:val="000000"/>
        </w:rPr>
      </w:pPr>
      <w:r>
        <w:rPr>
          <w:rFonts w:ascii="&amp;quot" w:hAnsi="&amp;quot"/>
          <w:color w:val="000000"/>
        </w:rPr>
        <w:t>Alcohol</w:t>
      </w:r>
    </w:p>
    <w:p w:rsidR="004326B6" w:rsidRDefault="004326B6" w:rsidP="004326B6">
      <w:pPr>
        <w:numPr>
          <w:ilvl w:val="0"/>
          <w:numId w:val="4"/>
        </w:numPr>
        <w:spacing w:before="166" w:after="166"/>
        <w:rPr>
          <w:rFonts w:ascii="&amp;quot" w:hAnsi="&amp;quot"/>
          <w:color w:val="000000"/>
        </w:rPr>
      </w:pPr>
      <w:r>
        <w:rPr>
          <w:rFonts w:ascii="&amp;quot" w:hAnsi="&amp;quot"/>
          <w:color w:val="000000"/>
        </w:rPr>
        <w:t>Liver disease</w:t>
      </w:r>
    </w:p>
    <w:p w:rsidR="004326B6" w:rsidRDefault="004326B6" w:rsidP="004326B6">
      <w:pPr>
        <w:numPr>
          <w:ilvl w:val="0"/>
          <w:numId w:val="4"/>
        </w:numPr>
        <w:spacing w:before="166" w:after="166"/>
        <w:rPr>
          <w:rFonts w:ascii="&amp;quot" w:hAnsi="&amp;quot"/>
          <w:color w:val="000000"/>
        </w:rPr>
      </w:pPr>
      <w:r>
        <w:rPr>
          <w:rFonts w:ascii="&amp;quot" w:hAnsi="&amp;quot"/>
          <w:color w:val="000000"/>
        </w:rPr>
        <w:t>Hypothyroidism</w:t>
      </w:r>
    </w:p>
    <w:p w:rsidR="004326B6" w:rsidRDefault="004326B6" w:rsidP="004326B6">
      <w:pPr>
        <w:numPr>
          <w:ilvl w:val="0"/>
          <w:numId w:val="4"/>
        </w:numPr>
        <w:spacing w:before="166" w:after="166"/>
        <w:rPr>
          <w:rFonts w:ascii="&amp;quot" w:hAnsi="&amp;quot"/>
          <w:color w:val="000000"/>
        </w:rPr>
      </w:pPr>
      <w:r>
        <w:rPr>
          <w:rFonts w:ascii="&amp;quot" w:hAnsi="&amp;quot"/>
          <w:color w:val="000000"/>
        </w:rPr>
        <w:t>Folate and Vitamin B12 deficiency </w:t>
      </w:r>
      <w:hyperlink r:id="rId345" w:history="1">
        <w:r>
          <w:rPr>
            <w:rStyle w:val="Hyperlink"/>
            <w:rFonts w:ascii="&amp;quot" w:hAnsi="&amp;quot"/>
            <w:color w:val="2F4A8B"/>
          </w:rPr>
          <w:t>[3]</w:t>
        </w:r>
      </w:hyperlink>
    </w:p>
    <w:p w:rsidR="004326B6" w:rsidRDefault="004326B6" w:rsidP="004326B6">
      <w:pPr>
        <w:numPr>
          <w:ilvl w:val="0"/>
          <w:numId w:val="4"/>
        </w:numPr>
        <w:spacing w:before="166" w:after="166"/>
        <w:rPr>
          <w:rFonts w:ascii="&amp;quot" w:hAnsi="&amp;quot"/>
          <w:color w:val="000000"/>
        </w:rPr>
      </w:pPr>
      <w:r>
        <w:rPr>
          <w:rFonts w:ascii="&amp;quot" w:hAnsi="&amp;quot"/>
          <w:color w:val="000000"/>
        </w:rPr>
        <w:t xml:space="preserve">Myelodysplastic syndrome (MDS) </w:t>
      </w:r>
    </w:p>
    <w:p w:rsidR="004326B6" w:rsidRDefault="004326B6" w:rsidP="004326B6">
      <w:pPr>
        <w:numPr>
          <w:ilvl w:val="1"/>
          <w:numId w:val="4"/>
        </w:numPr>
        <w:spacing w:before="166" w:after="166"/>
        <w:rPr>
          <w:rFonts w:ascii="&amp;quot" w:hAnsi="&amp;quot"/>
          <w:color w:val="000000"/>
        </w:rPr>
      </w:pPr>
      <w:r>
        <w:rPr>
          <w:rFonts w:ascii="&amp;quot" w:hAnsi="&amp;quot"/>
          <w:color w:val="000000"/>
        </w:rPr>
        <w:t>Refractory anemia (RA)</w:t>
      </w:r>
    </w:p>
    <w:p w:rsidR="004326B6" w:rsidRDefault="004326B6" w:rsidP="004326B6">
      <w:pPr>
        <w:numPr>
          <w:ilvl w:val="1"/>
          <w:numId w:val="4"/>
        </w:numPr>
        <w:spacing w:before="166" w:after="166"/>
        <w:rPr>
          <w:rFonts w:ascii="&amp;quot" w:hAnsi="&amp;quot"/>
          <w:color w:val="000000"/>
        </w:rPr>
      </w:pPr>
      <w:r>
        <w:rPr>
          <w:rFonts w:ascii="&amp;quot" w:hAnsi="&amp;quot"/>
          <w:color w:val="000000"/>
        </w:rPr>
        <w:t xml:space="preserve">Refractory anemia with ringed </w:t>
      </w:r>
      <w:proofErr w:type="spellStart"/>
      <w:r>
        <w:rPr>
          <w:rFonts w:ascii="&amp;quot" w:hAnsi="&amp;quot"/>
          <w:color w:val="000000"/>
        </w:rPr>
        <w:t>sideroblasts</w:t>
      </w:r>
      <w:proofErr w:type="spellEnd"/>
      <w:r>
        <w:rPr>
          <w:rFonts w:ascii="&amp;quot" w:hAnsi="&amp;quot"/>
          <w:color w:val="000000"/>
        </w:rPr>
        <w:t xml:space="preserve"> (RA-RS)</w:t>
      </w:r>
    </w:p>
    <w:p w:rsidR="004326B6" w:rsidRDefault="004326B6" w:rsidP="004326B6">
      <w:pPr>
        <w:numPr>
          <w:ilvl w:val="1"/>
          <w:numId w:val="4"/>
        </w:numPr>
        <w:spacing w:before="166" w:after="166"/>
        <w:rPr>
          <w:rFonts w:ascii="&amp;quot" w:hAnsi="&amp;quot"/>
          <w:color w:val="000000"/>
        </w:rPr>
      </w:pPr>
      <w:r>
        <w:rPr>
          <w:rFonts w:ascii="&amp;quot" w:hAnsi="&amp;quot"/>
          <w:color w:val="000000"/>
        </w:rPr>
        <w:t>Refractory anemia with excess blasts (RA-EB)</w:t>
      </w:r>
    </w:p>
    <w:p w:rsidR="004326B6" w:rsidRDefault="004326B6" w:rsidP="004326B6">
      <w:pPr>
        <w:numPr>
          <w:ilvl w:val="1"/>
          <w:numId w:val="4"/>
        </w:numPr>
        <w:spacing w:before="166" w:after="166"/>
        <w:rPr>
          <w:rFonts w:ascii="&amp;quot" w:hAnsi="&amp;quot"/>
          <w:color w:val="000000"/>
        </w:rPr>
      </w:pPr>
      <w:r>
        <w:rPr>
          <w:rFonts w:ascii="&amp;quot" w:hAnsi="&amp;quot"/>
          <w:color w:val="000000"/>
        </w:rPr>
        <w:t>Refractory anemia with excess blasts in transformation</w:t>
      </w:r>
    </w:p>
    <w:p w:rsidR="004326B6" w:rsidRDefault="004326B6" w:rsidP="004326B6">
      <w:pPr>
        <w:numPr>
          <w:ilvl w:val="1"/>
          <w:numId w:val="4"/>
        </w:numPr>
        <w:spacing w:before="166" w:after="166"/>
        <w:rPr>
          <w:rFonts w:ascii="&amp;quot" w:hAnsi="&amp;quot"/>
          <w:color w:val="000000"/>
        </w:rPr>
      </w:pPr>
      <w:r>
        <w:rPr>
          <w:rFonts w:ascii="&amp;quot" w:hAnsi="&amp;quot"/>
          <w:color w:val="000000"/>
        </w:rPr>
        <w:t xml:space="preserve">Chronic </w:t>
      </w:r>
      <w:proofErr w:type="spellStart"/>
      <w:r>
        <w:rPr>
          <w:rFonts w:ascii="&amp;quot" w:hAnsi="&amp;quot"/>
          <w:color w:val="000000"/>
        </w:rPr>
        <w:t>myelomonocytic</w:t>
      </w:r>
      <w:proofErr w:type="spellEnd"/>
      <w:r>
        <w:rPr>
          <w:rFonts w:ascii="&amp;quot" w:hAnsi="&amp;quot"/>
          <w:color w:val="000000"/>
        </w:rPr>
        <w:t xml:space="preserve"> leukemia (CMML)</w:t>
      </w:r>
    </w:p>
    <w:p w:rsidR="004326B6" w:rsidRDefault="004326B6" w:rsidP="004326B6">
      <w:pPr>
        <w:numPr>
          <w:ilvl w:val="0"/>
          <w:numId w:val="4"/>
        </w:numPr>
        <w:spacing w:before="166" w:after="166"/>
        <w:rPr>
          <w:rFonts w:ascii="&amp;quot" w:hAnsi="&amp;quot"/>
          <w:color w:val="000000"/>
        </w:rPr>
      </w:pPr>
      <w:r>
        <w:rPr>
          <w:rFonts w:ascii="&amp;quot" w:hAnsi="&amp;quot"/>
          <w:color w:val="000000"/>
        </w:rPr>
        <w:t xml:space="preserve">Drug-induced </w:t>
      </w:r>
    </w:p>
    <w:p w:rsidR="004326B6" w:rsidRDefault="004326B6" w:rsidP="004326B6">
      <w:pPr>
        <w:numPr>
          <w:ilvl w:val="1"/>
          <w:numId w:val="4"/>
        </w:numPr>
        <w:spacing w:before="166" w:after="166"/>
        <w:rPr>
          <w:rFonts w:ascii="&amp;quot" w:hAnsi="&amp;quot"/>
          <w:color w:val="000000"/>
        </w:rPr>
      </w:pPr>
      <w:r>
        <w:rPr>
          <w:rFonts w:ascii="&amp;quot" w:hAnsi="&amp;quot"/>
          <w:color w:val="000000"/>
        </w:rPr>
        <w:t>Diuretics </w:t>
      </w:r>
    </w:p>
    <w:p w:rsidR="004326B6" w:rsidRDefault="004326B6" w:rsidP="004326B6">
      <w:pPr>
        <w:numPr>
          <w:ilvl w:val="1"/>
          <w:numId w:val="4"/>
        </w:numPr>
        <w:spacing w:before="166" w:after="166"/>
        <w:rPr>
          <w:rFonts w:ascii="&amp;quot" w:hAnsi="&amp;quot"/>
          <w:color w:val="000000"/>
        </w:rPr>
      </w:pPr>
      <w:r>
        <w:rPr>
          <w:rFonts w:ascii="&amp;quot" w:hAnsi="&amp;quot"/>
          <w:color w:val="000000"/>
        </w:rPr>
        <w:t>Chemotherapeutic agents</w:t>
      </w:r>
    </w:p>
    <w:p w:rsidR="004326B6" w:rsidRDefault="004326B6" w:rsidP="004326B6">
      <w:pPr>
        <w:numPr>
          <w:ilvl w:val="1"/>
          <w:numId w:val="4"/>
        </w:numPr>
        <w:spacing w:before="166" w:after="166"/>
        <w:rPr>
          <w:rFonts w:ascii="&amp;quot" w:hAnsi="&amp;quot"/>
          <w:color w:val="000000"/>
        </w:rPr>
      </w:pPr>
      <w:r>
        <w:rPr>
          <w:rFonts w:ascii="&amp;quot" w:hAnsi="&amp;quot"/>
          <w:color w:val="000000"/>
        </w:rPr>
        <w:t>Hypoglycemic agents</w:t>
      </w:r>
    </w:p>
    <w:p w:rsidR="004326B6" w:rsidRDefault="004326B6" w:rsidP="004326B6">
      <w:pPr>
        <w:numPr>
          <w:ilvl w:val="1"/>
          <w:numId w:val="4"/>
        </w:numPr>
        <w:spacing w:before="166" w:after="166"/>
        <w:rPr>
          <w:rFonts w:ascii="&amp;quot" w:hAnsi="&amp;quot"/>
          <w:color w:val="000000"/>
        </w:rPr>
      </w:pPr>
      <w:r>
        <w:rPr>
          <w:rFonts w:ascii="&amp;quot" w:hAnsi="&amp;quot"/>
          <w:color w:val="000000"/>
        </w:rPr>
        <w:t>Antiretroviral agents</w:t>
      </w:r>
    </w:p>
    <w:p w:rsidR="004326B6" w:rsidRDefault="004326B6" w:rsidP="004326B6">
      <w:pPr>
        <w:numPr>
          <w:ilvl w:val="1"/>
          <w:numId w:val="4"/>
        </w:numPr>
        <w:spacing w:before="166" w:after="166"/>
        <w:rPr>
          <w:rFonts w:ascii="&amp;quot" w:hAnsi="&amp;quot"/>
          <w:color w:val="000000"/>
        </w:rPr>
      </w:pPr>
      <w:r>
        <w:rPr>
          <w:rFonts w:ascii="&amp;quot" w:hAnsi="&amp;quot"/>
          <w:color w:val="000000"/>
        </w:rPr>
        <w:t>Antimicrobials</w:t>
      </w:r>
    </w:p>
    <w:p w:rsidR="004326B6" w:rsidRDefault="004326B6" w:rsidP="004326B6">
      <w:pPr>
        <w:numPr>
          <w:ilvl w:val="1"/>
          <w:numId w:val="4"/>
        </w:numPr>
        <w:spacing w:before="166" w:after="166"/>
        <w:rPr>
          <w:rFonts w:ascii="&amp;quot" w:hAnsi="&amp;quot"/>
          <w:color w:val="000000"/>
        </w:rPr>
      </w:pPr>
      <w:r>
        <w:rPr>
          <w:rFonts w:ascii="&amp;quot" w:hAnsi="&amp;quot"/>
          <w:color w:val="000000"/>
        </w:rPr>
        <w:t>Anticonvulsants</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 </w:t>
      </w:r>
      <w:r>
        <w:rPr>
          <w:rFonts w:ascii="&amp;quot" w:hAnsi="&amp;quot"/>
          <w:b/>
          <w:bCs/>
          <w:color w:val="000000"/>
        </w:rPr>
        <w:t xml:space="preserve">4) Hemolytic </w:t>
      </w:r>
      <w:proofErr w:type="spellStart"/>
      <w:r>
        <w:rPr>
          <w:rFonts w:ascii="&amp;quot" w:hAnsi="&amp;quot"/>
          <w:b/>
          <w:bCs/>
          <w:color w:val="000000"/>
        </w:rPr>
        <w:t>anemia</w:t>
      </w:r>
      <w:r>
        <w:rPr>
          <w:rFonts w:ascii="&amp;quot" w:hAnsi="&amp;quot"/>
          <w:color w:val="000000"/>
        </w:rPr>
        <w:t>Hemolytic</w:t>
      </w:r>
      <w:proofErr w:type="spellEnd"/>
      <w:r>
        <w:rPr>
          <w:rFonts w:ascii="&amp;quot" w:hAnsi="&amp;quot"/>
          <w:color w:val="000000"/>
        </w:rPr>
        <w:t xml:space="preserve"> anemia (HA) is divided into extravascular and intravascular causes.</w:t>
      </w:r>
    </w:p>
    <w:p w:rsidR="004326B6" w:rsidRDefault="004326B6" w:rsidP="004326B6">
      <w:pPr>
        <w:numPr>
          <w:ilvl w:val="0"/>
          <w:numId w:val="5"/>
        </w:numPr>
        <w:spacing w:before="166" w:after="166"/>
        <w:rPr>
          <w:rFonts w:ascii="&amp;quot" w:hAnsi="&amp;quot"/>
          <w:color w:val="000000"/>
        </w:rPr>
      </w:pPr>
      <w:r>
        <w:rPr>
          <w:rFonts w:ascii="&amp;quot" w:hAnsi="&amp;quot"/>
          <w:b/>
          <w:bCs/>
          <w:color w:val="000000"/>
        </w:rPr>
        <w:t>Extravascular hemolysis: </w:t>
      </w:r>
      <w:r>
        <w:rPr>
          <w:rFonts w:ascii="&amp;quot" w:hAnsi="&amp;quot"/>
          <w:color w:val="000000"/>
        </w:rPr>
        <w:t xml:space="preserve">red cells are prematurely removed from the circulation by the liver and spleen. This accounts for a majority of cases of HA </w:t>
      </w:r>
    </w:p>
    <w:p w:rsidR="004326B6" w:rsidRDefault="004326B6" w:rsidP="004326B6">
      <w:pPr>
        <w:numPr>
          <w:ilvl w:val="1"/>
          <w:numId w:val="5"/>
        </w:numPr>
        <w:spacing w:before="166" w:after="166"/>
        <w:rPr>
          <w:rFonts w:ascii="&amp;quot" w:hAnsi="&amp;quot"/>
          <w:color w:val="000000"/>
        </w:rPr>
      </w:pPr>
      <w:proofErr w:type="spellStart"/>
      <w:r>
        <w:rPr>
          <w:rFonts w:ascii="&amp;quot" w:hAnsi="&amp;quot"/>
          <w:color w:val="000000"/>
        </w:rPr>
        <w:t>Hemoglobinopathies</w:t>
      </w:r>
      <w:proofErr w:type="spellEnd"/>
      <w:r>
        <w:rPr>
          <w:rFonts w:ascii="&amp;quot" w:hAnsi="&amp;quot"/>
          <w:color w:val="000000"/>
        </w:rPr>
        <w:t xml:space="preserve"> (sickle cell, </w:t>
      </w:r>
      <w:proofErr w:type="spellStart"/>
      <w:r>
        <w:rPr>
          <w:rFonts w:ascii="&amp;quot" w:hAnsi="&amp;quot"/>
          <w:color w:val="000000"/>
        </w:rPr>
        <w:t>thalassemias</w:t>
      </w:r>
      <w:proofErr w:type="spellEnd"/>
      <w:r>
        <w:rPr>
          <w:rFonts w:ascii="&amp;quot" w:hAnsi="&amp;quot"/>
          <w:color w:val="000000"/>
        </w:rPr>
        <w:t>)</w:t>
      </w:r>
    </w:p>
    <w:p w:rsidR="004326B6" w:rsidRDefault="004326B6" w:rsidP="004326B6">
      <w:pPr>
        <w:numPr>
          <w:ilvl w:val="1"/>
          <w:numId w:val="5"/>
        </w:numPr>
        <w:spacing w:before="166" w:after="166"/>
        <w:rPr>
          <w:rFonts w:ascii="&amp;quot" w:hAnsi="&amp;quot"/>
          <w:color w:val="000000"/>
        </w:rPr>
      </w:pPr>
      <w:proofErr w:type="spellStart"/>
      <w:r>
        <w:rPr>
          <w:rFonts w:ascii="&amp;quot" w:hAnsi="&amp;quot"/>
          <w:color w:val="000000"/>
        </w:rPr>
        <w:t>Enzyemopathies</w:t>
      </w:r>
      <w:proofErr w:type="spellEnd"/>
      <w:r>
        <w:rPr>
          <w:rFonts w:ascii="&amp;quot" w:hAnsi="&amp;quot"/>
          <w:color w:val="000000"/>
        </w:rPr>
        <w:t xml:space="preserve"> (G6PD deficiency, pyruvate kinase deficiency)</w:t>
      </w:r>
    </w:p>
    <w:p w:rsidR="004326B6" w:rsidRDefault="004326B6" w:rsidP="004326B6">
      <w:pPr>
        <w:numPr>
          <w:ilvl w:val="1"/>
          <w:numId w:val="5"/>
        </w:numPr>
        <w:spacing w:before="166" w:after="166"/>
        <w:rPr>
          <w:rFonts w:ascii="&amp;quot" w:hAnsi="&amp;quot"/>
          <w:color w:val="000000"/>
        </w:rPr>
      </w:pPr>
      <w:r>
        <w:rPr>
          <w:rFonts w:ascii="&amp;quot" w:hAnsi="&amp;quot"/>
          <w:color w:val="000000"/>
        </w:rPr>
        <w:lastRenderedPageBreak/>
        <w:t xml:space="preserve">Membrane defects (hereditary spherocytosis, hereditary </w:t>
      </w:r>
      <w:proofErr w:type="spellStart"/>
      <w:r>
        <w:rPr>
          <w:rFonts w:ascii="&amp;quot" w:hAnsi="&amp;quot"/>
          <w:color w:val="000000"/>
        </w:rPr>
        <w:t>elliptocytosis</w:t>
      </w:r>
      <w:proofErr w:type="spellEnd"/>
      <w:r>
        <w:rPr>
          <w:rFonts w:ascii="&amp;quot" w:hAnsi="&amp;quot"/>
          <w:color w:val="000000"/>
        </w:rPr>
        <w:t>)</w:t>
      </w:r>
    </w:p>
    <w:p w:rsidR="004326B6" w:rsidRDefault="004326B6" w:rsidP="004326B6">
      <w:pPr>
        <w:numPr>
          <w:ilvl w:val="1"/>
          <w:numId w:val="5"/>
        </w:numPr>
        <w:spacing w:before="166" w:after="166"/>
        <w:rPr>
          <w:rFonts w:ascii="&amp;quot" w:hAnsi="&amp;quot"/>
          <w:color w:val="000000"/>
        </w:rPr>
      </w:pPr>
      <w:r>
        <w:rPr>
          <w:rFonts w:ascii="&amp;quot" w:hAnsi="&amp;quot"/>
          <w:color w:val="000000"/>
        </w:rPr>
        <w:t>Drug-induced</w:t>
      </w:r>
    </w:p>
    <w:p w:rsidR="004326B6" w:rsidRDefault="004326B6" w:rsidP="004326B6">
      <w:pPr>
        <w:numPr>
          <w:ilvl w:val="0"/>
          <w:numId w:val="5"/>
        </w:numPr>
        <w:spacing w:before="166" w:after="166"/>
        <w:rPr>
          <w:rFonts w:ascii="&amp;quot" w:hAnsi="&amp;quot"/>
          <w:color w:val="000000"/>
        </w:rPr>
      </w:pPr>
      <w:r>
        <w:rPr>
          <w:rFonts w:ascii="&amp;quot" w:hAnsi="&amp;quot"/>
          <w:b/>
          <w:bCs/>
          <w:color w:val="000000"/>
        </w:rPr>
        <w:t>Intravascular hemolysis: </w:t>
      </w:r>
      <w:r>
        <w:rPr>
          <w:rFonts w:ascii="&amp;quot" w:hAnsi="&amp;quot"/>
          <w:color w:val="000000"/>
        </w:rPr>
        <w:t xml:space="preserve">red cells lyse within the circulation, and is less common.  </w:t>
      </w:r>
    </w:p>
    <w:p w:rsidR="004326B6" w:rsidRPr="004326B6" w:rsidRDefault="004326B6" w:rsidP="005E6A4F">
      <w:pPr>
        <w:numPr>
          <w:ilvl w:val="0"/>
          <w:numId w:val="1"/>
        </w:numPr>
        <w:spacing w:before="166" w:after="166"/>
        <w:rPr>
          <w:rFonts w:ascii="&amp;quot" w:hAnsi="&amp;quot"/>
          <w:b/>
          <w:color w:val="000000"/>
        </w:rPr>
      </w:pPr>
      <w:r w:rsidRPr="004326B6">
        <w:rPr>
          <w:rFonts w:ascii="&amp;quot" w:hAnsi="&amp;quot"/>
          <w:b/>
          <w:color w:val="000000"/>
        </w:rPr>
        <w:t>Epidemiology</w:t>
      </w:r>
    </w:p>
    <w:p w:rsidR="004326B6" w:rsidRPr="004326B6" w:rsidRDefault="004326B6" w:rsidP="004326B6">
      <w:pPr>
        <w:pStyle w:val="ListParagraph"/>
        <w:numPr>
          <w:ilvl w:val="0"/>
          <w:numId w:val="1"/>
        </w:numPr>
        <w:spacing w:before="166" w:after="166"/>
        <w:rPr>
          <w:rFonts w:ascii="&amp;quot" w:hAnsi="&amp;quot"/>
          <w:color w:val="000000"/>
        </w:rPr>
      </w:pPr>
      <w:r w:rsidRPr="004326B6">
        <w:rPr>
          <w:rFonts w:ascii="&amp;quot" w:hAnsi="&amp;quot"/>
          <w:color w:val="000000"/>
        </w:rPr>
        <w:t>Anemia is an extremely common disease affecting up to one-third of the global population. In many cases, it is mild and asymptomatic and requires no management. </w:t>
      </w:r>
    </w:p>
    <w:p w:rsidR="004326B6" w:rsidRPr="004326B6" w:rsidRDefault="004326B6" w:rsidP="004326B6">
      <w:pPr>
        <w:pStyle w:val="ListParagraph"/>
        <w:numPr>
          <w:ilvl w:val="0"/>
          <w:numId w:val="1"/>
        </w:numPr>
        <w:spacing w:before="166" w:after="166"/>
        <w:rPr>
          <w:rFonts w:ascii="&amp;quot" w:hAnsi="&amp;quot"/>
          <w:color w:val="000000"/>
        </w:rPr>
      </w:pPr>
      <w:r w:rsidRPr="004326B6">
        <w:rPr>
          <w:rFonts w:ascii="&amp;quot" w:hAnsi="&amp;quot"/>
          <w:color w:val="000000"/>
        </w:rPr>
        <w:t>The prevalence increases with age and is more common in women of reproductive age, pregnant women, and the elderly.</w:t>
      </w:r>
    </w:p>
    <w:p w:rsidR="004326B6" w:rsidRPr="004326B6" w:rsidRDefault="004326B6" w:rsidP="004326B6">
      <w:pPr>
        <w:pStyle w:val="ListParagraph"/>
        <w:numPr>
          <w:ilvl w:val="0"/>
          <w:numId w:val="1"/>
        </w:numPr>
        <w:spacing w:before="166" w:after="166"/>
        <w:rPr>
          <w:rFonts w:ascii="&amp;quot" w:hAnsi="&amp;quot"/>
          <w:color w:val="000000"/>
        </w:rPr>
      </w:pPr>
      <w:r w:rsidRPr="004326B6">
        <w:rPr>
          <w:rFonts w:ascii="&amp;quot" w:hAnsi="&amp;quot"/>
          <w:color w:val="000000"/>
        </w:rPr>
        <w:t>The prevalence is more than 20% of individuals who are older than the age of 85. The incidence of anemia is 50%-60% in the nursing home population. In the elderly, approximately one-third of patients have a nutritional deficiency as the cause of anemia, such as iron, folate, and vitamin B12 deficiency. In another one-third of patients, there is evidence of renal failure or chronic inflammation. </w:t>
      </w:r>
      <w:hyperlink r:id="rId346" w:history="1">
        <w:r w:rsidRPr="004326B6">
          <w:rPr>
            <w:rFonts w:ascii="&amp;quot" w:hAnsi="&amp;quot"/>
            <w:color w:val="2F4A8B"/>
            <w:u w:val="single"/>
          </w:rPr>
          <w:t>[4]</w:t>
        </w:r>
      </w:hyperlink>
    </w:p>
    <w:p w:rsidR="004326B6" w:rsidRPr="004326B6" w:rsidRDefault="004326B6" w:rsidP="004326B6">
      <w:pPr>
        <w:pStyle w:val="ListParagraph"/>
        <w:numPr>
          <w:ilvl w:val="0"/>
          <w:numId w:val="1"/>
        </w:numPr>
        <w:spacing w:before="166" w:after="166"/>
        <w:rPr>
          <w:rFonts w:ascii="&amp;quot" w:hAnsi="&amp;quot"/>
          <w:color w:val="000000"/>
        </w:rPr>
      </w:pPr>
      <w:r w:rsidRPr="004326B6">
        <w:rPr>
          <w:rFonts w:ascii="&amp;quot" w:hAnsi="&amp;quot"/>
          <w:color w:val="000000"/>
        </w:rPr>
        <w:t>Classically, mild iron-deficiency anemia is seen in women of childbearing age, usually due to poor dietary intake of iron and monthly loss with the menstrual cycles. Anemia is also common in elderly patients, often due to poor nutrition, especially of iron and folic acid. Other at-risk groups include alcoholics, the homeless population, and those experiencing neglect or abuse.</w:t>
      </w:r>
    </w:p>
    <w:p w:rsidR="004326B6" w:rsidRPr="004326B6" w:rsidRDefault="004326B6" w:rsidP="004326B6">
      <w:pPr>
        <w:pStyle w:val="ListParagraph"/>
        <w:numPr>
          <w:ilvl w:val="0"/>
          <w:numId w:val="1"/>
        </w:numPr>
        <w:spacing w:before="166" w:after="166"/>
        <w:rPr>
          <w:rFonts w:ascii="&amp;quot" w:hAnsi="&amp;quot"/>
          <w:color w:val="000000"/>
        </w:rPr>
      </w:pPr>
      <w:r w:rsidRPr="004326B6">
        <w:rPr>
          <w:rFonts w:ascii="&amp;quot" w:hAnsi="&amp;quot"/>
          <w:color w:val="000000"/>
        </w:rPr>
        <w:t>New-onset anemia, especially in those over 55 years of age, needs investigating and should be considered cancer until proven otherwise. This is especially true in men of any age who present with anemia. </w:t>
      </w:r>
    </w:p>
    <w:p w:rsidR="004326B6" w:rsidRDefault="004326B6" w:rsidP="004326B6">
      <w:pPr>
        <w:pStyle w:val="ListParagraph"/>
        <w:numPr>
          <w:ilvl w:val="0"/>
          <w:numId w:val="1"/>
        </w:numPr>
        <w:spacing w:before="166" w:after="166"/>
        <w:rPr>
          <w:rFonts w:ascii="&amp;quot" w:hAnsi="&amp;quot"/>
          <w:color w:val="000000"/>
        </w:rPr>
      </w:pPr>
      <w:r w:rsidRPr="004326B6">
        <w:rPr>
          <w:rFonts w:ascii="&amp;quot" w:hAnsi="&amp;quot"/>
          <w:color w:val="000000"/>
        </w:rPr>
        <w:t>Apart from age and sex, the race is also an important determinant of anemia, with the prevalence increasing in the African American population.  </w:t>
      </w:r>
    </w:p>
    <w:p w:rsidR="004326B6" w:rsidRPr="004326B6" w:rsidRDefault="004326B6" w:rsidP="004326B6">
      <w:pPr>
        <w:spacing w:before="166" w:after="166"/>
        <w:ind w:left="360"/>
        <w:rPr>
          <w:rFonts w:ascii="&amp;quot" w:hAnsi="&amp;quot"/>
          <w:b/>
          <w:color w:val="000000"/>
        </w:rPr>
      </w:pPr>
      <w:r w:rsidRPr="004326B6">
        <w:rPr>
          <w:rFonts w:ascii="&amp;quot" w:hAnsi="&amp;quot"/>
          <w:b/>
          <w:color w:val="000000"/>
        </w:rPr>
        <w:t>Pathophysiology</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The pathophysiology of anemia varies greatly depending on the primary cause. For instance, in acute hemorrhagic anemia, it is the restoration of blood volume with intracellular and extracellular fluid that dilutes the remaining red blood cells (RBCs), which results in anemia. A proportionate reduction in both plasma and red cells results in falsely normal hemoglobin and hematocrit. </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RBC are produced in the bone marrow and released into circulation. Approximately 1% of RBC are removed from circulation per day. Imbalance in production to removal or destruction of RBC leads to anemia. </w:t>
      </w:r>
      <w:hyperlink r:id="rId347" w:history="1">
        <w:r>
          <w:rPr>
            <w:rStyle w:val="Hyperlink"/>
            <w:rFonts w:ascii="&amp;quot" w:hAnsi="&amp;quot"/>
            <w:color w:val="2F4A8B"/>
          </w:rPr>
          <w:t>[5]</w:t>
        </w:r>
      </w:hyperlink>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The main mechanisms involved in anemia are listed below:</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1. Increased RBC destruction</w:t>
      </w:r>
    </w:p>
    <w:p w:rsidR="004326B6" w:rsidRDefault="004326B6" w:rsidP="004326B6">
      <w:pPr>
        <w:numPr>
          <w:ilvl w:val="0"/>
          <w:numId w:val="6"/>
        </w:numPr>
        <w:spacing w:before="166" w:after="166"/>
        <w:rPr>
          <w:rFonts w:ascii="&amp;quot" w:hAnsi="&amp;quot"/>
          <w:color w:val="000000"/>
        </w:rPr>
      </w:pPr>
      <w:r>
        <w:rPr>
          <w:rFonts w:ascii="&amp;quot" w:hAnsi="&amp;quot"/>
          <w:color w:val="000000"/>
        </w:rPr>
        <w:t xml:space="preserve">Blood loss </w:t>
      </w:r>
    </w:p>
    <w:p w:rsidR="004326B6" w:rsidRDefault="004326B6" w:rsidP="004326B6">
      <w:pPr>
        <w:numPr>
          <w:ilvl w:val="1"/>
          <w:numId w:val="6"/>
        </w:numPr>
        <w:spacing w:before="166" w:after="166"/>
        <w:rPr>
          <w:rFonts w:ascii="&amp;quot" w:hAnsi="&amp;quot"/>
          <w:color w:val="000000"/>
        </w:rPr>
      </w:pPr>
      <w:r>
        <w:rPr>
          <w:rFonts w:ascii="&amp;quot" w:hAnsi="&amp;quot"/>
          <w:color w:val="000000"/>
        </w:rPr>
        <w:t>Acute- hemorrhage, surgery, trauma, menorrhagia</w:t>
      </w:r>
    </w:p>
    <w:p w:rsidR="004326B6" w:rsidRDefault="004326B6" w:rsidP="004326B6">
      <w:pPr>
        <w:numPr>
          <w:ilvl w:val="1"/>
          <w:numId w:val="6"/>
        </w:numPr>
        <w:spacing w:before="166" w:after="166"/>
        <w:rPr>
          <w:rFonts w:ascii="&amp;quot" w:hAnsi="&amp;quot"/>
          <w:color w:val="000000"/>
        </w:rPr>
      </w:pPr>
      <w:r>
        <w:rPr>
          <w:rFonts w:ascii="&amp;quot" w:hAnsi="&amp;quot"/>
          <w:color w:val="000000"/>
        </w:rPr>
        <w:t>Chronic- heavy menstrual bleeding, chronic gastrointestinal blood losses </w:t>
      </w:r>
      <w:hyperlink r:id="rId348" w:history="1">
        <w:r>
          <w:rPr>
            <w:rStyle w:val="Hyperlink"/>
            <w:rFonts w:ascii="&amp;quot" w:hAnsi="&amp;quot"/>
            <w:color w:val="2F4A8B"/>
          </w:rPr>
          <w:t>[6]</w:t>
        </w:r>
      </w:hyperlink>
      <w:r>
        <w:rPr>
          <w:rFonts w:ascii="&amp;quot" w:hAnsi="&amp;quot"/>
          <w:color w:val="000000"/>
        </w:rPr>
        <w:t xml:space="preserve"> (in the setting of hookworm infestation, ulcers, etc.), urinary losses (BPH, renal carcinoma, schistosomiasis)</w:t>
      </w:r>
    </w:p>
    <w:p w:rsidR="004326B6" w:rsidRDefault="004326B6" w:rsidP="004326B6">
      <w:pPr>
        <w:numPr>
          <w:ilvl w:val="0"/>
          <w:numId w:val="6"/>
        </w:numPr>
        <w:spacing w:before="166" w:after="166"/>
        <w:rPr>
          <w:rFonts w:ascii="&amp;quot" w:hAnsi="&amp;quot"/>
          <w:color w:val="000000"/>
        </w:rPr>
      </w:pPr>
      <w:r>
        <w:rPr>
          <w:rFonts w:ascii="&amp;quot" w:hAnsi="&amp;quot"/>
          <w:color w:val="000000"/>
        </w:rPr>
        <w:lastRenderedPageBreak/>
        <w:t xml:space="preserve">Hemolytic anemia </w:t>
      </w:r>
    </w:p>
    <w:p w:rsidR="004326B6" w:rsidRDefault="004326B6" w:rsidP="004326B6">
      <w:pPr>
        <w:numPr>
          <w:ilvl w:val="1"/>
          <w:numId w:val="6"/>
        </w:numPr>
        <w:spacing w:before="166" w:after="166"/>
        <w:rPr>
          <w:rFonts w:ascii="&amp;quot" w:hAnsi="&amp;quot"/>
          <w:color w:val="000000"/>
        </w:rPr>
      </w:pPr>
      <w:r>
        <w:rPr>
          <w:rFonts w:ascii="&amp;quot" w:hAnsi="&amp;quot"/>
          <w:color w:val="000000"/>
        </w:rPr>
        <w:t xml:space="preserve">Acquired- immune-mediated, infection, </w:t>
      </w:r>
      <w:proofErr w:type="spellStart"/>
      <w:r>
        <w:rPr>
          <w:rFonts w:ascii="&amp;quot" w:hAnsi="&amp;quot"/>
          <w:color w:val="000000"/>
        </w:rPr>
        <w:t>microangiopathic</w:t>
      </w:r>
      <w:proofErr w:type="spellEnd"/>
      <w:r>
        <w:rPr>
          <w:rFonts w:ascii="&amp;quot" w:hAnsi="&amp;quot"/>
          <w:color w:val="000000"/>
        </w:rPr>
        <w:t xml:space="preserve">, blood transfusion-related, and secondary to </w:t>
      </w:r>
      <w:proofErr w:type="spellStart"/>
      <w:r>
        <w:rPr>
          <w:rFonts w:ascii="&amp;quot" w:hAnsi="&amp;quot"/>
          <w:color w:val="000000"/>
        </w:rPr>
        <w:t>hypersplenism</w:t>
      </w:r>
      <w:proofErr w:type="spellEnd"/>
    </w:p>
    <w:p w:rsidR="004326B6" w:rsidRDefault="004326B6" w:rsidP="004326B6">
      <w:pPr>
        <w:numPr>
          <w:ilvl w:val="1"/>
          <w:numId w:val="6"/>
        </w:numPr>
        <w:spacing w:before="166" w:after="166"/>
        <w:rPr>
          <w:rFonts w:ascii="&amp;quot" w:hAnsi="&amp;quot"/>
          <w:color w:val="000000"/>
        </w:rPr>
      </w:pPr>
      <w:r>
        <w:rPr>
          <w:rFonts w:ascii="&amp;quot" w:hAnsi="&amp;quot"/>
          <w:color w:val="000000"/>
        </w:rPr>
        <w:t xml:space="preserve">Hereditary- enzymopathies, disorders of hemoglobin (sickle cell), defects in red blood cell metabolism (G6PD deficiency, pyruvate kinase deficiency), defects in red blood cell membrane production (hereditary spherocytosis and </w:t>
      </w:r>
      <w:proofErr w:type="spellStart"/>
      <w:r>
        <w:rPr>
          <w:rFonts w:ascii="&amp;quot" w:hAnsi="&amp;quot"/>
          <w:color w:val="000000"/>
        </w:rPr>
        <w:t>elliptocytosis</w:t>
      </w:r>
      <w:proofErr w:type="spellEnd"/>
      <w:r>
        <w:rPr>
          <w:rFonts w:ascii="&amp;quot" w:hAnsi="&amp;quot"/>
          <w:color w:val="000000"/>
        </w:rPr>
        <w:t>)</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2. Deficient/defective erythropoiesis</w:t>
      </w:r>
    </w:p>
    <w:p w:rsidR="004326B6" w:rsidRDefault="004326B6" w:rsidP="004326B6">
      <w:pPr>
        <w:numPr>
          <w:ilvl w:val="0"/>
          <w:numId w:val="7"/>
        </w:numPr>
        <w:spacing w:before="166" w:after="166"/>
        <w:rPr>
          <w:rFonts w:ascii="&amp;quot" w:hAnsi="&amp;quot"/>
          <w:color w:val="000000"/>
        </w:rPr>
      </w:pPr>
      <w:r>
        <w:rPr>
          <w:rFonts w:ascii="&amp;quot" w:hAnsi="&amp;quot"/>
          <w:color w:val="000000"/>
        </w:rPr>
        <w:t>Microcytic</w:t>
      </w:r>
    </w:p>
    <w:p w:rsidR="004326B6" w:rsidRDefault="004326B6" w:rsidP="004326B6">
      <w:pPr>
        <w:numPr>
          <w:ilvl w:val="0"/>
          <w:numId w:val="7"/>
        </w:numPr>
        <w:spacing w:before="166" w:after="166"/>
        <w:rPr>
          <w:rFonts w:ascii="&amp;quot" w:hAnsi="&amp;quot"/>
          <w:color w:val="000000"/>
        </w:rPr>
      </w:pPr>
      <w:r>
        <w:rPr>
          <w:rFonts w:ascii="&amp;quot" w:hAnsi="&amp;quot"/>
          <w:color w:val="000000"/>
        </w:rPr>
        <w:t>Normocytic, normochromic</w:t>
      </w:r>
    </w:p>
    <w:p w:rsidR="004326B6" w:rsidRDefault="004326B6" w:rsidP="004326B6">
      <w:pPr>
        <w:numPr>
          <w:ilvl w:val="0"/>
          <w:numId w:val="7"/>
        </w:numPr>
        <w:spacing w:before="166" w:after="166"/>
        <w:rPr>
          <w:rFonts w:ascii="&amp;quot" w:hAnsi="&amp;quot"/>
          <w:color w:val="000000"/>
        </w:rPr>
      </w:pPr>
      <w:r>
        <w:rPr>
          <w:rFonts w:ascii="&amp;quot" w:hAnsi="&amp;quot"/>
          <w:color w:val="000000"/>
        </w:rPr>
        <w:t>Macrocytic</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1) Symptoms of anemia</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Classically depends on the rate of blood loss. Symptoms usually include the following: </w:t>
      </w:r>
    </w:p>
    <w:p w:rsidR="004326B6" w:rsidRDefault="004326B6" w:rsidP="004326B6">
      <w:pPr>
        <w:numPr>
          <w:ilvl w:val="0"/>
          <w:numId w:val="8"/>
        </w:numPr>
        <w:spacing w:before="166" w:after="166"/>
        <w:rPr>
          <w:rFonts w:ascii="&amp;quot" w:hAnsi="&amp;quot"/>
          <w:color w:val="000000"/>
        </w:rPr>
      </w:pPr>
      <w:r>
        <w:rPr>
          <w:rFonts w:ascii="&amp;quot" w:hAnsi="&amp;quot"/>
          <w:color w:val="000000"/>
        </w:rPr>
        <w:t>Weakness</w:t>
      </w:r>
    </w:p>
    <w:p w:rsidR="004326B6" w:rsidRDefault="004326B6" w:rsidP="004326B6">
      <w:pPr>
        <w:numPr>
          <w:ilvl w:val="0"/>
          <w:numId w:val="8"/>
        </w:numPr>
        <w:spacing w:before="166" w:after="166"/>
        <w:rPr>
          <w:rFonts w:ascii="&amp;quot" w:hAnsi="&amp;quot"/>
          <w:color w:val="000000"/>
        </w:rPr>
      </w:pPr>
      <w:r>
        <w:rPr>
          <w:rFonts w:ascii="&amp;quot" w:hAnsi="&amp;quot"/>
          <w:color w:val="000000"/>
        </w:rPr>
        <w:t>Tiredness</w:t>
      </w:r>
    </w:p>
    <w:p w:rsidR="004326B6" w:rsidRDefault="004326B6" w:rsidP="004326B6">
      <w:pPr>
        <w:numPr>
          <w:ilvl w:val="0"/>
          <w:numId w:val="8"/>
        </w:numPr>
        <w:spacing w:before="166" w:after="166"/>
        <w:rPr>
          <w:rFonts w:ascii="&amp;quot" w:hAnsi="&amp;quot"/>
          <w:color w:val="000000"/>
        </w:rPr>
      </w:pPr>
      <w:r>
        <w:rPr>
          <w:rFonts w:ascii="&amp;quot" w:hAnsi="&amp;quot"/>
          <w:color w:val="000000"/>
        </w:rPr>
        <w:t>Lethargy</w:t>
      </w:r>
    </w:p>
    <w:p w:rsidR="004326B6" w:rsidRDefault="004326B6" w:rsidP="004326B6">
      <w:pPr>
        <w:numPr>
          <w:ilvl w:val="0"/>
          <w:numId w:val="8"/>
        </w:numPr>
        <w:spacing w:before="166" w:after="166"/>
        <w:rPr>
          <w:rFonts w:ascii="&amp;quot" w:hAnsi="&amp;quot"/>
          <w:color w:val="000000"/>
        </w:rPr>
      </w:pPr>
      <w:r>
        <w:rPr>
          <w:rFonts w:ascii="&amp;quot" w:hAnsi="&amp;quot"/>
          <w:color w:val="000000"/>
        </w:rPr>
        <w:t>Restless legs</w:t>
      </w:r>
    </w:p>
    <w:p w:rsidR="004326B6" w:rsidRDefault="004326B6" w:rsidP="004326B6">
      <w:pPr>
        <w:numPr>
          <w:ilvl w:val="0"/>
          <w:numId w:val="8"/>
        </w:numPr>
        <w:spacing w:before="166" w:after="166"/>
        <w:rPr>
          <w:rFonts w:ascii="&amp;quot" w:hAnsi="&amp;quot"/>
          <w:color w:val="000000"/>
        </w:rPr>
      </w:pPr>
      <w:r>
        <w:rPr>
          <w:rFonts w:ascii="&amp;quot" w:hAnsi="&amp;quot"/>
          <w:color w:val="000000"/>
        </w:rPr>
        <w:t>Shortness of breath, especially on exertion, near syncope</w:t>
      </w:r>
    </w:p>
    <w:p w:rsidR="004326B6" w:rsidRDefault="004326B6" w:rsidP="004326B6">
      <w:pPr>
        <w:numPr>
          <w:ilvl w:val="0"/>
          <w:numId w:val="8"/>
        </w:numPr>
        <w:spacing w:before="166" w:after="166"/>
        <w:rPr>
          <w:rFonts w:ascii="&amp;quot" w:hAnsi="&amp;quot"/>
          <w:color w:val="000000"/>
        </w:rPr>
      </w:pPr>
      <w:r>
        <w:rPr>
          <w:rFonts w:ascii="&amp;quot" w:hAnsi="&amp;quot"/>
          <w:color w:val="000000"/>
        </w:rPr>
        <w:t>Chest pain and reduced exercise tolerance- with more severe anemia</w:t>
      </w:r>
    </w:p>
    <w:p w:rsidR="004326B6" w:rsidRDefault="004326B6" w:rsidP="004326B6">
      <w:pPr>
        <w:numPr>
          <w:ilvl w:val="0"/>
          <w:numId w:val="8"/>
        </w:numPr>
        <w:spacing w:before="166" w:after="166"/>
        <w:rPr>
          <w:rFonts w:ascii="&amp;quot" w:hAnsi="&amp;quot"/>
          <w:color w:val="000000"/>
        </w:rPr>
      </w:pPr>
      <w:r>
        <w:rPr>
          <w:rFonts w:ascii="&amp;quot" w:hAnsi="&amp;quot"/>
          <w:color w:val="000000"/>
        </w:rPr>
        <w:t xml:space="preserve">Pica- desire to eat unusual and </w:t>
      </w:r>
      <w:proofErr w:type="spellStart"/>
      <w:r>
        <w:rPr>
          <w:rFonts w:ascii="&amp;quot" w:hAnsi="&amp;quot"/>
          <w:color w:val="000000"/>
        </w:rPr>
        <w:t>nondietary</w:t>
      </w:r>
      <w:proofErr w:type="spellEnd"/>
      <w:r>
        <w:rPr>
          <w:rFonts w:ascii="&amp;quot" w:hAnsi="&amp;quot"/>
          <w:color w:val="000000"/>
        </w:rPr>
        <w:t xml:space="preserve"> substances </w:t>
      </w:r>
    </w:p>
    <w:p w:rsidR="004326B6" w:rsidRDefault="004326B6" w:rsidP="004326B6">
      <w:pPr>
        <w:numPr>
          <w:ilvl w:val="0"/>
          <w:numId w:val="8"/>
        </w:numPr>
        <w:spacing w:before="166" w:after="166"/>
        <w:rPr>
          <w:rFonts w:ascii="&amp;quot" w:hAnsi="&amp;quot"/>
          <w:color w:val="000000"/>
        </w:rPr>
      </w:pPr>
      <w:r>
        <w:rPr>
          <w:rFonts w:ascii="&amp;quot" w:hAnsi="&amp;quot"/>
          <w:color w:val="000000"/>
        </w:rPr>
        <w:t>Mild anemia may otherwise be asymptomatic </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2) Signs of anemia</w:t>
      </w:r>
    </w:p>
    <w:p w:rsidR="004326B6" w:rsidRDefault="004326B6" w:rsidP="004326B6">
      <w:pPr>
        <w:numPr>
          <w:ilvl w:val="0"/>
          <w:numId w:val="9"/>
        </w:numPr>
        <w:spacing w:before="166" w:after="166"/>
        <w:rPr>
          <w:rFonts w:ascii="&amp;quot" w:hAnsi="&amp;quot"/>
          <w:color w:val="000000"/>
        </w:rPr>
      </w:pPr>
      <w:r>
        <w:rPr>
          <w:rFonts w:ascii="&amp;quot" w:hAnsi="&amp;quot"/>
          <w:color w:val="000000"/>
        </w:rPr>
        <w:t>Skin may be cool to touch</w:t>
      </w:r>
    </w:p>
    <w:p w:rsidR="004326B6" w:rsidRDefault="004326B6" w:rsidP="004326B6">
      <w:pPr>
        <w:numPr>
          <w:ilvl w:val="0"/>
          <w:numId w:val="9"/>
        </w:numPr>
        <w:spacing w:before="166" w:after="166"/>
        <w:rPr>
          <w:rFonts w:ascii="&amp;quot" w:hAnsi="&amp;quot"/>
          <w:color w:val="000000"/>
        </w:rPr>
      </w:pPr>
      <w:r>
        <w:rPr>
          <w:rFonts w:ascii="&amp;quot" w:hAnsi="&amp;quot"/>
          <w:color w:val="000000"/>
        </w:rPr>
        <w:t>Tachypnea</w:t>
      </w:r>
    </w:p>
    <w:p w:rsidR="004326B6" w:rsidRDefault="004326B6" w:rsidP="004326B6">
      <w:pPr>
        <w:numPr>
          <w:ilvl w:val="0"/>
          <w:numId w:val="9"/>
        </w:numPr>
        <w:spacing w:before="166" w:after="166"/>
        <w:rPr>
          <w:rFonts w:ascii="&amp;quot" w:hAnsi="&amp;quot"/>
          <w:color w:val="000000"/>
        </w:rPr>
      </w:pPr>
      <w:r>
        <w:rPr>
          <w:rFonts w:ascii="&amp;quot" w:hAnsi="&amp;quot"/>
          <w:color w:val="000000"/>
        </w:rPr>
        <w:t>Hypotension (orthostatic)</w:t>
      </w:r>
    </w:p>
    <w:p w:rsidR="004326B6" w:rsidRDefault="004326B6" w:rsidP="004326B6">
      <w:pPr>
        <w:numPr>
          <w:ilvl w:val="0"/>
          <w:numId w:val="9"/>
        </w:numPr>
        <w:spacing w:before="166" w:after="166"/>
        <w:rPr>
          <w:rFonts w:ascii="&amp;quot" w:hAnsi="&amp;quot"/>
          <w:color w:val="000000"/>
        </w:rPr>
      </w:pPr>
      <w:r>
        <w:rPr>
          <w:rFonts w:ascii="&amp;quot" w:hAnsi="&amp;quot"/>
          <w:color w:val="000000"/>
        </w:rPr>
        <w:t xml:space="preserve">HEENT: </w:t>
      </w:r>
    </w:p>
    <w:p w:rsidR="004326B6" w:rsidRDefault="004326B6" w:rsidP="004326B6">
      <w:pPr>
        <w:numPr>
          <w:ilvl w:val="1"/>
          <w:numId w:val="9"/>
        </w:numPr>
        <w:spacing w:before="166" w:after="166"/>
        <w:rPr>
          <w:rFonts w:ascii="&amp;quot" w:hAnsi="&amp;quot"/>
          <w:color w:val="000000"/>
        </w:rPr>
      </w:pPr>
      <w:r>
        <w:rPr>
          <w:rFonts w:ascii="&amp;quot" w:hAnsi="&amp;quot"/>
          <w:color w:val="000000"/>
        </w:rPr>
        <w:t>Pallor of the conjunctiva                                                                                                                                                                                               </w:t>
      </w:r>
    </w:p>
    <w:p w:rsidR="004326B6" w:rsidRDefault="004326B6" w:rsidP="004326B6">
      <w:pPr>
        <w:numPr>
          <w:ilvl w:val="1"/>
          <w:numId w:val="9"/>
        </w:numPr>
        <w:spacing w:before="166" w:after="166"/>
        <w:rPr>
          <w:rFonts w:ascii="&amp;quot" w:hAnsi="&amp;quot"/>
          <w:color w:val="000000"/>
        </w:rPr>
      </w:pPr>
      <w:r>
        <w:rPr>
          <w:rFonts w:ascii="&amp;quot" w:hAnsi="&amp;quot"/>
          <w:color w:val="000000"/>
        </w:rPr>
        <w:t>“Boxcars” or “</w:t>
      </w:r>
      <w:proofErr w:type="spellStart"/>
      <w:r>
        <w:rPr>
          <w:rFonts w:ascii="&amp;quot" w:hAnsi="&amp;quot"/>
          <w:color w:val="000000"/>
        </w:rPr>
        <w:t>sausaging</w:t>
      </w:r>
      <w:proofErr w:type="spellEnd"/>
      <w:r>
        <w:rPr>
          <w:rFonts w:ascii="&amp;quot" w:hAnsi="&amp;quot"/>
          <w:color w:val="000000"/>
        </w:rPr>
        <w:t xml:space="preserve">” of retinal veins: suggestive of </w:t>
      </w:r>
      <w:proofErr w:type="spellStart"/>
      <w:r>
        <w:rPr>
          <w:rFonts w:ascii="&amp;quot" w:hAnsi="&amp;quot"/>
          <w:color w:val="000000"/>
        </w:rPr>
        <w:t>hyperviscosity</w:t>
      </w:r>
      <w:proofErr w:type="spellEnd"/>
      <w:r>
        <w:rPr>
          <w:rFonts w:ascii="&amp;quot" w:hAnsi="&amp;quot"/>
          <w:color w:val="000000"/>
        </w:rPr>
        <w:t xml:space="preserve"> which can be seen in myelofibrosis                                                               </w:t>
      </w:r>
    </w:p>
    <w:p w:rsidR="004326B6" w:rsidRDefault="004326B6" w:rsidP="004326B6">
      <w:pPr>
        <w:numPr>
          <w:ilvl w:val="1"/>
          <w:numId w:val="9"/>
        </w:numPr>
        <w:spacing w:before="166" w:after="166"/>
        <w:rPr>
          <w:rFonts w:ascii="&amp;quot" w:hAnsi="&amp;quot"/>
          <w:color w:val="000000"/>
        </w:rPr>
      </w:pPr>
      <w:r>
        <w:rPr>
          <w:rFonts w:ascii="&amp;quot" w:hAnsi="&amp;quot"/>
          <w:color w:val="000000"/>
        </w:rPr>
        <w:t xml:space="preserve">Jaundice- elevated bilirubin is seen in several </w:t>
      </w:r>
      <w:proofErr w:type="spellStart"/>
      <w:r>
        <w:rPr>
          <w:rFonts w:ascii="&amp;quot" w:hAnsi="&amp;quot"/>
          <w:color w:val="000000"/>
        </w:rPr>
        <w:t>hemoglobinopathies</w:t>
      </w:r>
      <w:proofErr w:type="spellEnd"/>
      <w:r>
        <w:rPr>
          <w:rFonts w:ascii="&amp;quot" w:hAnsi="&amp;quot"/>
          <w:color w:val="000000"/>
        </w:rPr>
        <w:t>, liver diseases and other forms of hemolysis                                         </w:t>
      </w:r>
    </w:p>
    <w:p w:rsidR="004326B6" w:rsidRDefault="004326B6" w:rsidP="004326B6">
      <w:pPr>
        <w:numPr>
          <w:ilvl w:val="1"/>
          <w:numId w:val="9"/>
        </w:numPr>
        <w:spacing w:before="166" w:after="166"/>
        <w:rPr>
          <w:rFonts w:ascii="&amp;quot" w:hAnsi="&amp;quot"/>
          <w:color w:val="000000"/>
        </w:rPr>
      </w:pPr>
      <w:r>
        <w:rPr>
          <w:rFonts w:ascii="&amp;quot" w:hAnsi="&amp;quot"/>
          <w:color w:val="000000"/>
        </w:rPr>
        <w:lastRenderedPageBreak/>
        <w:t>Lymphadenopathy: suggestive of lymphoma or leukemia                                                                                                                                           </w:t>
      </w:r>
    </w:p>
    <w:p w:rsidR="004326B6" w:rsidRDefault="004326B6" w:rsidP="004326B6">
      <w:pPr>
        <w:numPr>
          <w:ilvl w:val="1"/>
          <w:numId w:val="9"/>
        </w:numPr>
        <w:spacing w:before="166" w:after="166"/>
        <w:rPr>
          <w:rFonts w:ascii="&amp;quot" w:hAnsi="&amp;quot"/>
          <w:color w:val="000000"/>
        </w:rPr>
      </w:pPr>
      <w:r>
        <w:rPr>
          <w:rFonts w:ascii="&amp;quot" w:hAnsi="&amp;quot"/>
          <w:color w:val="000000"/>
        </w:rPr>
        <w:t xml:space="preserve">Glossitis (inflammation of the tongue) and </w:t>
      </w:r>
      <w:proofErr w:type="spellStart"/>
      <w:r>
        <w:rPr>
          <w:rFonts w:ascii="&amp;quot" w:hAnsi="&amp;quot"/>
          <w:color w:val="000000"/>
        </w:rPr>
        <w:t>cheilitis</w:t>
      </w:r>
      <w:proofErr w:type="spellEnd"/>
      <w:r>
        <w:rPr>
          <w:rFonts w:ascii="&amp;quot" w:hAnsi="&amp;quot"/>
          <w:color w:val="000000"/>
        </w:rPr>
        <w:t xml:space="preserve"> (swollen patches on the corners of the mouth): iron/folate deficiency, alcoholism, pernicious anemia </w:t>
      </w:r>
    </w:p>
    <w:p w:rsidR="004326B6" w:rsidRDefault="004326B6" w:rsidP="004326B6">
      <w:pPr>
        <w:numPr>
          <w:ilvl w:val="0"/>
          <w:numId w:val="9"/>
        </w:numPr>
        <w:spacing w:before="166" w:after="166"/>
        <w:rPr>
          <w:rFonts w:ascii="&amp;quot" w:hAnsi="&amp;quot"/>
          <w:color w:val="000000"/>
        </w:rPr>
      </w:pPr>
      <w:r>
        <w:rPr>
          <w:rFonts w:ascii="&amp;quot" w:hAnsi="&amp;quot"/>
          <w:color w:val="000000"/>
        </w:rPr>
        <w:t xml:space="preserve">Abdominal exam: </w:t>
      </w:r>
    </w:p>
    <w:p w:rsidR="004326B6" w:rsidRDefault="004326B6" w:rsidP="004326B6">
      <w:pPr>
        <w:numPr>
          <w:ilvl w:val="1"/>
          <w:numId w:val="9"/>
        </w:numPr>
        <w:spacing w:before="166" w:after="166"/>
        <w:rPr>
          <w:rFonts w:ascii="&amp;quot" w:hAnsi="&amp;quot"/>
          <w:color w:val="000000"/>
        </w:rPr>
      </w:pPr>
      <w:r>
        <w:rPr>
          <w:rFonts w:ascii="&amp;quot" w:hAnsi="&amp;quot"/>
          <w:color w:val="000000"/>
        </w:rPr>
        <w:t>Splenomegaly: hemolysis, lymphoma, leukemia, myelofibrosis                                                                                                                                         </w:t>
      </w:r>
    </w:p>
    <w:p w:rsidR="004326B6" w:rsidRDefault="004326B6" w:rsidP="004326B6">
      <w:pPr>
        <w:numPr>
          <w:ilvl w:val="1"/>
          <w:numId w:val="9"/>
        </w:numPr>
        <w:spacing w:before="166" w:after="166"/>
        <w:rPr>
          <w:rFonts w:ascii="&amp;quot" w:hAnsi="&amp;quot"/>
          <w:color w:val="000000"/>
        </w:rPr>
      </w:pPr>
      <w:r>
        <w:rPr>
          <w:rFonts w:ascii="&amp;quot" w:hAnsi="&amp;quot"/>
          <w:color w:val="000000"/>
        </w:rPr>
        <w:t>Hepatomegaly: alcohol, myelofibrosis                                                                                                                                                                 </w:t>
      </w:r>
    </w:p>
    <w:p w:rsidR="004326B6" w:rsidRDefault="004326B6" w:rsidP="004326B6">
      <w:pPr>
        <w:numPr>
          <w:ilvl w:val="1"/>
          <w:numId w:val="9"/>
        </w:numPr>
        <w:spacing w:before="166" w:after="166"/>
        <w:rPr>
          <w:rFonts w:ascii="&amp;quot" w:hAnsi="&amp;quot"/>
          <w:color w:val="000000"/>
        </w:rPr>
      </w:pPr>
      <w:r>
        <w:rPr>
          <w:rFonts w:ascii="&amp;quot" w:hAnsi="&amp;quot"/>
          <w:color w:val="000000"/>
        </w:rPr>
        <w:t>Scar from gastrectomy: decreased absorptive surface with the loss of the terminal ileum leads to vitamin B12 deficiency                                                       </w:t>
      </w:r>
    </w:p>
    <w:p w:rsidR="004326B6" w:rsidRDefault="004326B6" w:rsidP="004326B6">
      <w:pPr>
        <w:numPr>
          <w:ilvl w:val="1"/>
          <w:numId w:val="9"/>
        </w:numPr>
        <w:spacing w:before="166" w:after="166"/>
        <w:rPr>
          <w:rFonts w:ascii="&amp;quot" w:hAnsi="&amp;quot"/>
          <w:color w:val="000000"/>
        </w:rPr>
      </w:pPr>
      <w:r>
        <w:rPr>
          <w:rFonts w:ascii="&amp;quot" w:hAnsi="&amp;quot"/>
          <w:color w:val="000000"/>
        </w:rPr>
        <w:t>Scar from cholecystectomy: Cholesterol and pigmented gallstones are commonly seen in sickle cell anemia are hereditary spherocytosis</w:t>
      </w:r>
    </w:p>
    <w:p w:rsidR="004326B6" w:rsidRDefault="004326B6" w:rsidP="004326B6">
      <w:pPr>
        <w:numPr>
          <w:ilvl w:val="0"/>
          <w:numId w:val="9"/>
        </w:numPr>
        <w:spacing w:before="166" w:after="166"/>
        <w:rPr>
          <w:rFonts w:ascii="&amp;quot" w:hAnsi="&amp;quot"/>
          <w:color w:val="000000"/>
        </w:rPr>
      </w:pPr>
      <w:r>
        <w:rPr>
          <w:rFonts w:ascii="&amp;quot" w:hAnsi="&amp;quot"/>
          <w:color w:val="000000"/>
        </w:rPr>
        <w:t xml:space="preserve">Cardiovascular: </w:t>
      </w:r>
    </w:p>
    <w:p w:rsidR="004326B6" w:rsidRDefault="004326B6" w:rsidP="004326B6">
      <w:pPr>
        <w:numPr>
          <w:ilvl w:val="1"/>
          <w:numId w:val="9"/>
        </w:numPr>
        <w:spacing w:before="166" w:after="166"/>
        <w:rPr>
          <w:rFonts w:ascii="&amp;quot" w:hAnsi="&amp;quot"/>
          <w:color w:val="000000"/>
        </w:rPr>
      </w:pPr>
      <w:r>
        <w:rPr>
          <w:rFonts w:ascii="&amp;quot" w:hAnsi="&amp;quot"/>
          <w:color w:val="000000"/>
        </w:rPr>
        <w:t>Tachycardia                                                                                                                                                                                                           </w:t>
      </w:r>
    </w:p>
    <w:p w:rsidR="004326B6" w:rsidRDefault="004326B6" w:rsidP="004326B6">
      <w:pPr>
        <w:numPr>
          <w:ilvl w:val="1"/>
          <w:numId w:val="9"/>
        </w:numPr>
        <w:spacing w:before="166" w:after="166"/>
        <w:rPr>
          <w:rFonts w:ascii="&amp;quot" w:hAnsi="&amp;quot"/>
          <w:color w:val="000000"/>
        </w:rPr>
      </w:pPr>
      <w:r>
        <w:rPr>
          <w:rFonts w:ascii="&amp;quot" w:hAnsi="&amp;quot"/>
          <w:color w:val="000000"/>
        </w:rPr>
        <w:t>Systolic flow murmur                                                                                                                                                                                                   </w:t>
      </w:r>
    </w:p>
    <w:p w:rsidR="004326B6" w:rsidRDefault="004326B6" w:rsidP="004326B6">
      <w:pPr>
        <w:numPr>
          <w:ilvl w:val="1"/>
          <w:numId w:val="9"/>
        </w:numPr>
        <w:spacing w:before="166" w:after="166"/>
        <w:rPr>
          <w:rFonts w:ascii="&amp;quot" w:hAnsi="&amp;quot"/>
          <w:color w:val="000000"/>
        </w:rPr>
      </w:pPr>
      <w:r>
        <w:rPr>
          <w:rFonts w:ascii="&amp;quot" w:hAnsi="&amp;quot"/>
          <w:color w:val="000000"/>
        </w:rPr>
        <w:t>Severe anemia may lead to high output heart failure</w:t>
      </w:r>
    </w:p>
    <w:p w:rsidR="004326B6" w:rsidRDefault="004326B6" w:rsidP="004326B6">
      <w:pPr>
        <w:numPr>
          <w:ilvl w:val="0"/>
          <w:numId w:val="9"/>
        </w:numPr>
        <w:spacing w:before="166" w:after="166"/>
        <w:rPr>
          <w:rFonts w:ascii="&amp;quot" w:hAnsi="&amp;quot"/>
          <w:color w:val="000000"/>
        </w:rPr>
      </w:pPr>
      <w:r>
        <w:rPr>
          <w:rFonts w:ascii="&amp;quot" w:hAnsi="&amp;quot"/>
          <w:color w:val="000000"/>
        </w:rPr>
        <w:t>Neurologic exam: Decreased proprioception/vibration: vitamin B12 deficiency</w:t>
      </w:r>
    </w:p>
    <w:p w:rsidR="004326B6" w:rsidRDefault="004326B6" w:rsidP="004326B6">
      <w:pPr>
        <w:numPr>
          <w:ilvl w:val="0"/>
          <w:numId w:val="9"/>
        </w:numPr>
        <w:spacing w:before="166" w:after="166"/>
        <w:rPr>
          <w:rFonts w:ascii="&amp;quot" w:hAnsi="&amp;quot"/>
          <w:color w:val="000000"/>
        </w:rPr>
      </w:pPr>
      <w:r>
        <w:rPr>
          <w:rFonts w:ascii="&amp;quot" w:hAnsi="&amp;quot"/>
          <w:color w:val="000000"/>
        </w:rPr>
        <w:t xml:space="preserve">Skin: </w:t>
      </w:r>
    </w:p>
    <w:p w:rsidR="004326B6" w:rsidRDefault="004326B6" w:rsidP="004326B6">
      <w:pPr>
        <w:numPr>
          <w:ilvl w:val="1"/>
          <w:numId w:val="9"/>
        </w:numPr>
        <w:spacing w:before="166" w:after="166"/>
        <w:rPr>
          <w:rFonts w:ascii="&amp;quot" w:hAnsi="&amp;quot"/>
          <w:color w:val="000000"/>
        </w:rPr>
      </w:pPr>
      <w:r>
        <w:rPr>
          <w:rFonts w:ascii="&amp;quot" w:hAnsi="&amp;quot"/>
          <w:color w:val="000000"/>
        </w:rPr>
        <w:t>Pallor of the mucous membranes/nail bed or palmar creases: suggests hemoglobin &lt; 9 mg/</w:t>
      </w:r>
      <w:proofErr w:type="spellStart"/>
      <w:r>
        <w:rPr>
          <w:rFonts w:ascii="&amp;quot" w:hAnsi="&amp;quot"/>
          <w:color w:val="000000"/>
        </w:rPr>
        <w:t>dL</w:t>
      </w:r>
      <w:proofErr w:type="spellEnd"/>
      <w:r>
        <w:rPr>
          <w:rFonts w:ascii="&amp;quot" w:hAnsi="&amp;quot"/>
          <w:color w:val="000000"/>
        </w:rPr>
        <w:t>                                                                                   </w:t>
      </w:r>
    </w:p>
    <w:p w:rsidR="004326B6" w:rsidRDefault="004326B6" w:rsidP="004326B6">
      <w:pPr>
        <w:numPr>
          <w:ilvl w:val="1"/>
          <w:numId w:val="9"/>
        </w:numPr>
        <w:spacing w:before="166" w:after="166"/>
        <w:rPr>
          <w:rFonts w:ascii="&amp;quot" w:hAnsi="&amp;quot"/>
          <w:color w:val="000000"/>
        </w:rPr>
      </w:pPr>
      <w:proofErr w:type="spellStart"/>
      <w:r>
        <w:rPr>
          <w:rFonts w:ascii="&amp;quot" w:hAnsi="&amp;quot"/>
          <w:color w:val="000000"/>
        </w:rPr>
        <w:t>Petechiae</w:t>
      </w:r>
      <w:proofErr w:type="spellEnd"/>
      <w:r>
        <w:rPr>
          <w:rFonts w:ascii="&amp;quot" w:hAnsi="&amp;quot"/>
          <w:color w:val="000000"/>
        </w:rPr>
        <w:t>: thrombocytopenia, vasculitis                                                                                                                                                               </w:t>
      </w:r>
    </w:p>
    <w:p w:rsidR="004326B6" w:rsidRDefault="004326B6" w:rsidP="004326B6">
      <w:pPr>
        <w:numPr>
          <w:ilvl w:val="1"/>
          <w:numId w:val="9"/>
        </w:numPr>
        <w:spacing w:before="166" w:after="166"/>
        <w:rPr>
          <w:rFonts w:ascii="&amp;quot" w:hAnsi="&amp;quot"/>
          <w:color w:val="000000"/>
        </w:rPr>
      </w:pPr>
      <w:r>
        <w:rPr>
          <w:rFonts w:ascii="&amp;quot" w:hAnsi="&amp;quot"/>
          <w:color w:val="000000"/>
        </w:rPr>
        <w:t xml:space="preserve">Dermatitis </w:t>
      </w:r>
      <w:proofErr w:type="spellStart"/>
      <w:r>
        <w:rPr>
          <w:rFonts w:ascii="&amp;quot" w:hAnsi="&amp;quot"/>
          <w:color w:val="000000"/>
        </w:rPr>
        <w:t>herpetiformis</w:t>
      </w:r>
      <w:proofErr w:type="spellEnd"/>
      <w:r>
        <w:rPr>
          <w:rFonts w:ascii="&amp;quot" w:hAnsi="&amp;quot"/>
          <w:color w:val="000000"/>
        </w:rPr>
        <w:t xml:space="preserve"> (in iron deficiency due to malabsorption- Celiac disease)                                                                                                         </w:t>
      </w:r>
    </w:p>
    <w:p w:rsidR="004326B6" w:rsidRDefault="004326B6" w:rsidP="004326B6">
      <w:pPr>
        <w:numPr>
          <w:ilvl w:val="1"/>
          <w:numId w:val="9"/>
        </w:numPr>
        <w:spacing w:before="166" w:after="166"/>
        <w:rPr>
          <w:rFonts w:ascii="&amp;quot" w:hAnsi="&amp;quot"/>
          <w:color w:val="000000"/>
        </w:rPr>
      </w:pPr>
      <w:proofErr w:type="spellStart"/>
      <w:r>
        <w:rPr>
          <w:rFonts w:ascii="&amp;quot" w:hAnsi="&amp;quot"/>
          <w:color w:val="000000"/>
        </w:rPr>
        <w:t>Koilonychia</w:t>
      </w:r>
      <w:proofErr w:type="spellEnd"/>
      <w:r>
        <w:rPr>
          <w:rFonts w:ascii="&amp;quot" w:hAnsi="&amp;quot"/>
          <w:color w:val="000000"/>
        </w:rPr>
        <w:t xml:space="preserve"> (spooning of the nails): iron deficiency</w:t>
      </w:r>
    </w:p>
    <w:p w:rsidR="004326B6" w:rsidRDefault="004326B6" w:rsidP="004326B6">
      <w:pPr>
        <w:numPr>
          <w:ilvl w:val="0"/>
          <w:numId w:val="9"/>
        </w:numPr>
        <w:spacing w:before="166" w:after="166"/>
        <w:rPr>
          <w:rFonts w:ascii="&amp;quot" w:hAnsi="&amp;quot"/>
          <w:color w:val="000000"/>
        </w:rPr>
      </w:pPr>
      <w:r>
        <w:rPr>
          <w:rFonts w:ascii="&amp;quot" w:hAnsi="&amp;quot"/>
          <w:color w:val="000000"/>
        </w:rPr>
        <w:t>Rectal and pelvic exam: These examinations are usually overlooked and underperformed in the evaluation of anemia. If a patient has heavy rectal bleeding, one must evaluate for the presence of hemorrhoids or hard masses that suggest neoplasm as causes of bleeding.</w:t>
      </w:r>
    </w:p>
    <w:p w:rsidR="007503CB" w:rsidRPr="007503CB" w:rsidRDefault="007503CB" w:rsidP="004326B6">
      <w:pPr>
        <w:pStyle w:val="NormalWeb"/>
        <w:spacing w:before="166" w:beforeAutospacing="0" w:after="166" w:afterAutospacing="0"/>
        <w:rPr>
          <w:rFonts w:ascii="&amp;quot" w:hAnsi="&amp;quot"/>
          <w:b/>
          <w:color w:val="000000"/>
        </w:rPr>
      </w:pPr>
      <w:r w:rsidRPr="007503CB">
        <w:rPr>
          <w:rFonts w:ascii="&amp;quot" w:hAnsi="&amp;quot"/>
          <w:b/>
          <w:color w:val="000000"/>
        </w:rPr>
        <w:lastRenderedPageBreak/>
        <w:t>Evaluation</w:t>
      </w:r>
    </w:p>
    <w:p w:rsidR="004326B6" w:rsidRDefault="007503CB" w:rsidP="004326B6">
      <w:pPr>
        <w:pStyle w:val="NormalWeb"/>
        <w:spacing w:before="166" w:beforeAutospacing="0" w:after="166" w:afterAutospacing="0"/>
        <w:rPr>
          <w:rFonts w:ascii="&amp;quot" w:hAnsi="&amp;quot"/>
          <w:color w:val="000000"/>
        </w:rPr>
      </w:pPr>
      <w:r>
        <w:rPr>
          <w:rFonts w:ascii="&amp;quot" w:hAnsi="&amp;quot"/>
          <w:color w:val="000000"/>
        </w:rPr>
        <w:t>I</w:t>
      </w:r>
      <w:r w:rsidR="004326B6">
        <w:rPr>
          <w:rFonts w:ascii="&amp;quot" w:hAnsi="&amp;quot"/>
          <w:color w:val="000000"/>
        </w:rPr>
        <w:t>dentification of the type of anemia: </w:t>
      </w:r>
      <w:r>
        <w:rPr>
          <w:rFonts w:ascii="&amp;quot" w:hAnsi="&amp;quot"/>
          <w:color w:val="000000"/>
        </w:rPr>
        <w:t xml:space="preserve"> </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1. Complete blood count (CBC) including differential</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2. Calculate the corrected reticulocyte count = percent reticulocytes x (patient's HCT/normal HCT)</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For normal HCT, use 45% in men and 40% in women</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 xml:space="preserve">If result &gt; 2, this suggests hemolysis or acute blood loss, while results &lt; 2 suggests </w:t>
      </w:r>
      <w:proofErr w:type="spellStart"/>
      <w:r>
        <w:rPr>
          <w:rFonts w:ascii="&amp;quot" w:hAnsi="&amp;quot"/>
          <w:color w:val="000000"/>
        </w:rPr>
        <w:t>hypoproliferation</w:t>
      </w:r>
      <w:proofErr w:type="spellEnd"/>
      <w:r>
        <w:rPr>
          <w:rFonts w:ascii="&amp;quot" w:hAnsi="&amp;quot"/>
          <w:color w:val="000000"/>
        </w:rPr>
        <w:t>.</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3. After calculating the reticulocyte count, check the MCV.</w:t>
      </w:r>
    </w:p>
    <w:p w:rsidR="004326B6" w:rsidRDefault="004326B6" w:rsidP="004326B6">
      <w:pPr>
        <w:numPr>
          <w:ilvl w:val="0"/>
          <w:numId w:val="10"/>
        </w:numPr>
        <w:spacing w:before="166" w:after="166"/>
        <w:rPr>
          <w:rFonts w:ascii="&amp;quot" w:hAnsi="&amp;quot"/>
          <w:color w:val="000000"/>
        </w:rPr>
      </w:pPr>
      <w:r>
        <w:rPr>
          <w:rFonts w:ascii="&amp;quot" w:hAnsi="&amp;quot"/>
          <w:color w:val="000000"/>
        </w:rPr>
        <w:t xml:space="preserve">MCV (&lt;80 </w:t>
      </w:r>
      <w:proofErr w:type="spellStart"/>
      <w:r>
        <w:rPr>
          <w:rFonts w:ascii="&amp;quot" w:hAnsi="&amp;quot"/>
          <w:color w:val="000000"/>
        </w:rPr>
        <w:t>fl</w:t>
      </w:r>
      <w:proofErr w:type="spellEnd"/>
      <w:r>
        <w:rPr>
          <w:rFonts w:ascii="&amp;quot" w:hAnsi="&amp;quot"/>
          <w:color w:val="000000"/>
        </w:rPr>
        <w:t xml:space="preserve">)  </w:t>
      </w:r>
    </w:p>
    <w:p w:rsidR="004326B6" w:rsidRDefault="004326B6" w:rsidP="004326B6">
      <w:pPr>
        <w:numPr>
          <w:ilvl w:val="1"/>
          <w:numId w:val="10"/>
        </w:numPr>
        <w:spacing w:before="166" w:after="166"/>
        <w:rPr>
          <w:rFonts w:ascii="&amp;quot" w:hAnsi="&amp;quot"/>
          <w:color w:val="000000"/>
        </w:rPr>
      </w:pPr>
      <w:r>
        <w:rPr>
          <w:rFonts w:ascii="&amp;quot" w:hAnsi="&amp;quot"/>
          <w:color w:val="000000"/>
        </w:rPr>
        <w:t>Iron deficiency- decreased serum iron, percent saturation of iron, with increased total iron-binding capacity (TIBC), transferrin levels, and soluble transferrin receptor </w:t>
      </w:r>
    </w:p>
    <w:p w:rsidR="004326B6" w:rsidRDefault="004326B6" w:rsidP="004326B6">
      <w:pPr>
        <w:numPr>
          <w:ilvl w:val="1"/>
          <w:numId w:val="10"/>
        </w:numPr>
        <w:spacing w:before="166" w:after="166"/>
        <w:rPr>
          <w:rFonts w:ascii="&amp;quot" w:hAnsi="&amp;quot"/>
          <w:color w:val="000000"/>
        </w:rPr>
      </w:pPr>
      <w:r>
        <w:rPr>
          <w:rFonts w:ascii="&amp;quot" w:hAnsi="&amp;quot"/>
          <w:color w:val="000000"/>
        </w:rPr>
        <w:t xml:space="preserve">Lead poisoning- basophilic stippling on the peripheral blood smear, ringed </w:t>
      </w:r>
      <w:proofErr w:type="spellStart"/>
      <w:r>
        <w:rPr>
          <w:rFonts w:ascii="&amp;quot" w:hAnsi="&amp;quot"/>
          <w:color w:val="000000"/>
        </w:rPr>
        <w:t>sideroblasts</w:t>
      </w:r>
      <w:proofErr w:type="spellEnd"/>
      <w:r>
        <w:rPr>
          <w:rFonts w:ascii="&amp;quot" w:hAnsi="&amp;quot"/>
          <w:color w:val="000000"/>
        </w:rPr>
        <w:t xml:space="preserve"> in bone marrow, elevated lead levels </w:t>
      </w:r>
    </w:p>
    <w:p w:rsidR="004326B6" w:rsidRDefault="004326B6" w:rsidP="004326B6">
      <w:pPr>
        <w:numPr>
          <w:ilvl w:val="1"/>
          <w:numId w:val="10"/>
        </w:numPr>
        <w:spacing w:before="166" w:after="166"/>
        <w:rPr>
          <w:rFonts w:ascii="&amp;quot" w:hAnsi="&amp;quot"/>
          <w:color w:val="000000"/>
        </w:rPr>
      </w:pPr>
      <w:r>
        <w:rPr>
          <w:rFonts w:ascii="&amp;quot" w:hAnsi="&amp;quot"/>
          <w:color w:val="000000"/>
        </w:rPr>
        <w:t>AOCD- may be normocytic</w:t>
      </w:r>
    </w:p>
    <w:p w:rsidR="004326B6" w:rsidRDefault="004326B6" w:rsidP="004326B6">
      <w:pPr>
        <w:numPr>
          <w:ilvl w:val="1"/>
          <w:numId w:val="10"/>
        </w:numPr>
        <w:spacing w:before="166" w:after="166"/>
        <w:rPr>
          <w:rFonts w:ascii="&amp;quot" w:hAnsi="&amp;quot"/>
          <w:color w:val="000000"/>
        </w:rPr>
      </w:pPr>
      <w:r>
        <w:rPr>
          <w:rFonts w:ascii="&amp;quot" w:hAnsi="&amp;quot"/>
          <w:color w:val="000000"/>
        </w:rPr>
        <w:t xml:space="preserve">Thalassemia- RBC count may be normal/high, low MCV, target cells, and basophilic stippling are on peripheral smear. Alpha thalassemia is differentiated from beta-thalassemia by a normal </w:t>
      </w:r>
      <w:proofErr w:type="spellStart"/>
      <w:r>
        <w:rPr>
          <w:rFonts w:ascii="&amp;quot" w:hAnsi="&amp;quot"/>
          <w:color w:val="000000"/>
        </w:rPr>
        <w:t>Hgb</w:t>
      </w:r>
      <w:proofErr w:type="spellEnd"/>
      <w:r>
        <w:rPr>
          <w:rFonts w:ascii="&amp;quot" w:hAnsi="&amp;quot"/>
          <w:color w:val="000000"/>
        </w:rPr>
        <w:t xml:space="preserve"> electrophoresis in alpha thalassemia.  Elevated </w:t>
      </w:r>
      <w:proofErr w:type="spellStart"/>
      <w:r>
        <w:rPr>
          <w:rFonts w:ascii="&amp;quot" w:hAnsi="&amp;quot"/>
          <w:color w:val="000000"/>
        </w:rPr>
        <w:t>Hgb</w:t>
      </w:r>
      <w:proofErr w:type="spellEnd"/>
      <w:r>
        <w:rPr>
          <w:rFonts w:ascii="&amp;quot" w:hAnsi="&amp;quot"/>
          <w:color w:val="000000"/>
        </w:rPr>
        <w:t xml:space="preserve"> A2/</w:t>
      </w:r>
      <w:proofErr w:type="spellStart"/>
      <w:r>
        <w:rPr>
          <w:rFonts w:ascii="&amp;quot" w:hAnsi="&amp;quot"/>
          <w:color w:val="000000"/>
        </w:rPr>
        <w:t>HgbF</w:t>
      </w:r>
      <w:proofErr w:type="spellEnd"/>
      <w:r>
        <w:rPr>
          <w:rFonts w:ascii="&amp;quot" w:hAnsi="&amp;quot"/>
          <w:color w:val="000000"/>
        </w:rPr>
        <w:t xml:space="preserve"> is seen in the beta-thalassemia trait.</w:t>
      </w:r>
    </w:p>
    <w:p w:rsidR="004326B6" w:rsidRDefault="004326B6" w:rsidP="004326B6">
      <w:pPr>
        <w:numPr>
          <w:ilvl w:val="1"/>
          <w:numId w:val="10"/>
        </w:numPr>
        <w:spacing w:before="166" w:after="166"/>
        <w:rPr>
          <w:rFonts w:ascii="&amp;quot" w:hAnsi="&amp;quot"/>
          <w:color w:val="000000"/>
        </w:rPr>
      </w:pPr>
      <w:proofErr w:type="spellStart"/>
      <w:r>
        <w:rPr>
          <w:rFonts w:ascii="&amp;quot" w:hAnsi="&amp;quot"/>
          <w:color w:val="000000"/>
        </w:rPr>
        <w:t>Sideroblastic</w:t>
      </w:r>
      <w:proofErr w:type="spellEnd"/>
      <w:r>
        <w:rPr>
          <w:rFonts w:ascii="&amp;quot" w:hAnsi="&amp;quot"/>
          <w:color w:val="000000"/>
        </w:rPr>
        <w:t xml:space="preserve"> anemia- elevated serum iron and transferrin with ringed </w:t>
      </w:r>
      <w:proofErr w:type="spellStart"/>
      <w:r>
        <w:rPr>
          <w:rFonts w:ascii="&amp;quot" w:hAnsi="&amp;quot"/>
          <w:color w:val="000000"/>
        </w:rPr>
        <w:t>sideroblasts</w:t>
      </w:r>
      <w:proofErr w:type="spellEnd"/>
      <w:r>
        <w:rPr>
          <w:rFonts w:ascii="&amp;quot" w:hAnsi="&amp;quot"/>
          <w:color w:val="000000"/>
        </w:rPr>
        <w:t xml:space="preserve"> in the bone marrow </w:t>
      </w:r>
    </w:p>
    <w:p w:rsidR="004326B6" w:rsidRDefault="004326B6" w:rsidP="004326B6">
      <w:pPr>
        <w:numPr>
          <w:ilvl w:val="0"/>
          <w:numId w:val="10"/>
        </w:numPr>
        <w:spacing w:before="166" w:after="166"/>
        <w:rPr>
          <w:rFonts w:ascii="&amp;quot" w:hAnsi="&amp;quot"/>
          <w:color w:val="000000"/>
        </w:rPr>
      </w:pPr>
      <w:r>
        <w:rPr>
          <w:rFonts w:ascii="&amp;quot" w:hAnsi="&amp;quot"/>
          <w:color w:val="000000"/>
        </w:rPr>
        <w:t xml:space="preserve">MCV (90-100fl) </w:t>
      </w:r>
    </w:p>
    <w:p w:rsidR="004326B6" w:rsidRDefault="004326B6" w:rsidP="004326B6">
      <w:pPr>
        <w:numPr>
          <w:ilvl w:val="1"/>
          <w:numId w:val="10"/>
        </w:numPr>
        <w:spacing w:before="166" w:after="166"/>
        <w:rPr>
          <w:rFonts w:ascii="&amp;quot" w:hAnsi="&amp;quot"/>
          <w:color w:val="000000"/>
        </w:rPr>
      </w:pPr>
      <w:r>
        <w:rPr>
          <w:rFonts w:ascii="&amp;quot" w:hAnsi="&amp;quot"/>
          <w:color w:val="000000"/>
        </w:rPr>
        <w:t>Renal failure: BUN/Creatinine </w:t>
      </w:r>
    </w:p>
    <w:p w:rsidR="004326B6" w:rsidRDefault="004326B6" w:rsidP="004326B6">
      <w:pPr>
        <w:numPr>
          <w:ilvl w:val="1"/>
          <w:numId w:val="10"/>
        </w:numPr>
        <w:spacing w:before="166" w:after="166"/>
        <w:rPr>
          <w:rFonts w:ascii="&amp;quot" w:hAnsi="&amp;quot"/>
          <w:color w:val="000000"/>
        </w:rPr>
      </w:pPr>
      <w:r>
        <w:rPr>
          <w:rFonts w:ascii="&amp;quot" w:hAnsi="&amp;quot"/>
          <w:color w:val="000000"/>
        </w:rPr>
        <w:t>Aplastic anemia- ask for drug exposure, check for infections (EBV, hepatitis, CMV, HIV), test for hematologic malignancies and paroxysmal nocturnal hemoglobinuria (PNH)</w:t>
      </w:r>
    </w:p>
    <w:p w:rsidR="004326B6" w:rsidRDefault="004326B6" w:rsidP="004326B6">
      <w:pPr>
        <w:numPr>
          <w:ilvl w:val="1"/>
          <w:numId w:val="10"/>
        </w:numPr>
        <w:spacing w:before="166" w:after="166"/>
        <w:rPr>
          <w:rFonts w:ascii="&amp;quot" w:hAnsi="&amp;quot"/>
          <w:color w:val="000000"/>
        </w:rPr>
      </w:pPr>
      <w:r>
        <w:rPr>
          <w:rFonts w:ascii="&amp;quot" w:hAnsi="&amp;quot"/>
          <w:color w:val="000000"/>
        </w:rPr>
        <w:t>Myelofibrosis/</w:t>
      </w:r>
      <w:proofErr w:type="spellStart"/>
      <w:r>
        <w:rPr>
          <w:rFonts w:ascii="&amp;quot" w:hAnsi="&amp;quot"/>
          <w:color w:val="000000"/>
        </w:rPr>
        <w:t>myelophthisis</w:t>
      </w:r>
      <w:proofErr w:type="spellEnd"/>
      <w:r>
        <w:rPr>
          <w:rFonts w:ascii="&amp;quot" w:hAnsi="&amp;quot"/>
          <w:color w:val="000000"/>
        </w:rPr>
        <w:t>- check bone marrow biopsy </w:t>
      </w:r>
    </w:p>
    <w:p w:rsidR="004326B6" w:rsidRDefault="004326B6" w:rsidP="004326B6">
      <w:pPr>
        <w:numPr>
          <w:ilvl w:val="1"/>
          <w:numId w:val="10"/>
        </w:numPr>
        <w:spacing w:before="166" w:after="166"/>
        <w:rPr>
          <w:rFonts w:ascii="&amp;quot" w:hAnsi="&amp;quot"/>
          <w:color w:val="000000"/>
        </w:rPr>
      </w:pPr>
      <w:r>
        <w:rPr>
          <w:rFonts w:ascii="&amp;quot" w:hAnsi="&amp;quot"/>
          <w:color w:val="000000"/>
        </w:rPr>
        <w:t>Multiple myeloma- serum and urine electrophoresis </w:t>
      </w:r>
    </w:p>
    <w:p w:rsidR="004326B6" w:rsidRDefault="004326B6" w:rsidP="004326B6">
      <w:pPr>
        <w:numPr>
          <w:ilvl w:val="1"/>
          <w:numId w:val="10"/>
        </w:numPr>
        <w:spacing w:before="166" w:after="166"/>
        <w:rPr>
          <w:rFonts w:ascii="&amp;quot" w:hAnsi="&amp;quot"/>
          <w:color w:val="000000"/>
        </w:rPr>
      </w:pPr>
      <w:r>
        <w:rPr>
          <w:rFonts w:ascii="&amp;quot" w:hAnsi="&amp;quot"/>
          <w:color w:val="000000"/>
        </w:rPr>
        <w:t xml:space="preserve">Pure red cell aplasia- test for Parvovirus B19, exclude </w:t>
      </w:r>
      <w:proofErr w:type="spellStart"/>
      <w:r>
        <w:rPr>
          <w:rFonts w:ascii="&amp;quot" w:hAnsi="&amp;quot"/>
          <w:color w:val="000000"/>
        </w:rPr>
        <w:t>thymoma</w:t>
      </w:r>
      <w:proofErr w:type="spellEnd"/>
    </w:p>
    <w:p w:rsidR="004326B6" w:rsidRDefault="004326B6" w:rsidP="004326B6">
      <w:pPr>
        <w:numPr>
          <w:ilvl w:val="0"/>
          <w:numId w:val="10"/>
        </w:numPr>
        <w:spacing w:before="166" w:after="166"/>
        <w:rPr>
          <w:rFonts w:ascii="&amp;quot" w:hAnsi="&amp;quot"/>
          <w:color w:val="000000"/>
        </w:rPr>
      </w:pPr>
      <w:r>
        <w:rPr>
          <w:rFonts w:ascii="&amp;quot" w:hAnsi="&amp;quot"/>
          <w:color w:val="000000"/>
        </w:rPr>
        <w:t xml:space="preserve">MCV (&gt;100 </w:t>
      </w:r>
      <w:proofErr w:type="spellStart"/>
      <w:r>
        <w:rPr>
          <w:rFonts w:ascii="&amp;quot" w:hAnsi="&amp;quot"/>
          <w:color w:val="000000"/>
        </w:rPr>
        <w:t>fl</w:t>
      </w:r>
      <w:proofErr w:type="spellEnd"/>
      <w:r>
        <w:rPr>
          <w:rFonts w:ascii="&amp;quot" w:hAnsi="&amp;quot"/>
          <w:color w:val="000000"/>
        </w:rPr>
        <w:t xml:space="preserve">) </w:t>
      </w:r>
    </w:p>
    <w:p w:rsidR="004326B6" w:rsidRDefault="004326B6" w:rsidP="004326B6">
      <w:pPr>
        <w:numPr>
          <w:ilvl w:val="1"/>
          <w:numId w:val="10"/>
        </w:numPr>
        <w:spacing w:before="166" w:after="166"/>
        <w:rPr>
          <w:rFonts w:ascii="&amp;quot" w:hAnsi="&amp;quot"/>
          <w:color w:val="000000"/>
        </w:rPr>
      </w:pPr>
      <w:r>
        <w:rPr>
          <w:rFonts w:ascii="&amp;quot" w:hAnsi="&amp;quot"/>
          <w:color w:val="000000"/>
        </w:rPr>
        <w:t xml:space="preserve">B12/folate levels- B12 and folate deficiency can be differentiated by an elevated </w:t>
      </w:r>
      <w:proofErr w:type="spellStart"/>
      <w:r>
        <w:rPr>
          <w:rFonts w:ascii="&amp;quot" w:hAnsi="&amp;quot"/>
          <w:color w:val="000000"/>
        </w:rPr>
        <w:t>methylmalonic</w:t>
      </w:r>
      <w:proofErr w:type="spellEnd"/>
      <w:r>
        <w:rPr>
          <w:rFonts w:ascii="&amp;quot" w:hAnsi="&amp;quot"/>
          <w:color w:val="000000"/>
        </w:rPr>
        <w:t xml:space="preserve"> and homocysteine level in B12 deficiency and only an elevated </w:t>
      </w:r>
      <w:r>
        <w:rPr>
          <w:rFonts w:ascii="&amp;quot" w:hAnsi="&amp;quot"/>
          <w:color w:val="000000"/>
        </w:rPr>
        <w:lastRenderedPageBreak/>
        <w:t xml:space="preserve">homocysteine level in folate deficiency. </w:t>
      </w:r>
      <w:proofErr w:type="spellStart"/>
      <w:r>
        <w:rPr>
          <w:rFonts w:ascii="&amp;quot" w:hAnsi="&amp;quot"/>
          <w:color w:val="000000"/>
        </w:rPr>
        <w:t>Methylmalonic</w:t>
      </w:r>
      <w:proofErr w:type="spellEnd"/>
      <w:r>
        <w:rPr>
          <w:rFonts w:ascii="&amp;quot" w:hAnsi="&amp;quot"/>
          <w:color w:val="000000"/>
        </w:rPr>
        <w:t xml:space="preserve"> levels are relatively normal.  </w:t>
      </w:r>
    </w:p>
    <w:p w:rsidR="004326B6" w:rsidRDefault="004326B6" w:rsidP="004326B6">
      <w:pPr>
        <w:numPr>
          <w:ilvl w:val="1"/>
          <w:numId w:val="10"/>
        </w:numPr>
        <w:spacing w:before="166" w:after="166"/>
        <w:rPr>
          <w:rFonts w:ascii="&amp;quot" w:hAnsi="&amp;quot"/>
          <w:color w:val="000000"/>
        </w:rPr>
      </w:pPr>
      <w:r>
        <w:rPr>
          <w:rFonts w:ascii="&amp;quot" w:hAnsi="&amp;quot"/>
          <w:color w:val="000000"/>
        </w:rPr>
        <w:t xml:space="preserve">MDS- </w:t>
      </w:r>
      <w:proofErr w:type="spellStart"/>
      <w:r>
        <w:rPr>
          <w:rFonts w:ascii="&amp;quot" w:hAnsi="&amp;quot"/>
          <w:color w:val="000000"/>
        </w:rPr>
        <w:t>hyposegmented</w:t>
      </w:r>
      <w:proofErr w:type="spellEnd"/>
      <w:r>
        <w:rPr>
          <w:rFonts w:ascii="&amp;quot" w:hAnsi="&amp;quot"/>
          <w:color w:val="000000"/>
        </w:rPr>
        <w:t xml:space="preserve"> PMNs on peripheral smear, bone marrow biopsy </w:t>
      </w:r>
    </w:p>
    <w:p w:rsidR="004326B6" w:rsidRDefault="004326B6" w:rsidP="004326B6">
      <w:pPr>
        <w:numPr>
          <w:ilvl w:val="1"/>
          <w:numId w:val="10"/>
        </w:numPr>
        <w:spacing w:before="166" w:after="166"/>
        <w:rPr>
          <w:rFonts w:ascii="&amp;quot" w:hAnsi="&amp;quot"/>
          <w:color w:val="000000"/>
        </w:rPr>
      </w:pPr>
      <w:r>
        <w:rPr>
          <w:rFonts w:ascii="&amp;quot" w:hAnsi="&amp;quot"/>
          <w:color w:val="000000"/>
        </w:rPr>
        <w:t>Hypothyroidism- TSH, free T4</w:t>
      </w:r>
    </w:p>
    <w:p w:rsidR="004326B6" w:rsidRDefault="004326B6" w:rsidP="004326B6">
      <w:pPr>
        <w:numPr>
          <w:ilvl w:val="1"/>
          <w:numId w:val="10"/>
        </w:numPr>
        <w:spacing w:before="166" w:after="166"/>
        <w:rPr>
          <w:rFonts w:ascii="&amp;quot" w:hAnsi="&amp;quot"/>
          <w:color w:val="000000"/>
        </w:rPr>
      </w:pPr>
      <w:r>
        <w:rPr>
          <w:rFonts w:ascii="&amp;quot" w:hAnsi="&amp;quot"/>
          <w:color w:val="000000"/>
        </w:rPr>
        <w:t>Liver disease- check liver function </w:t>
      </w:r>
    </w:p>
    <w:p w:rsidR="004326B6" w:rsidRDefault="004326B6" w:rsidP="004326B6">
      <w:pPr>
        <w:numPr>
          <w:ilvl w:val="1"/>
          <w:numId w:val="10"/>
        </w:numPr>
        <w:spacing w:before="166" w:after="166"/>
        <w:rPr>
          <w:rFonts w:ascii="&amp;quot" w:hAnsi="&amp;quot"/>
          <w:color w:val="000000"/>
        </w:rPr>
      </w:pPr>
      <w:r>
        <w:rPr>
          <w:rFonts w:ascii="&amp;quot" w:hAnsi="&amp;quot"/>
          <w:color w:val="000000"/>
        </w:rPr>
        <w:t>Alcohol- assess alcohol intake </w:t>
      </w:r>
    </w:p>
    <w:p w:rsidR="004326B6" w:rsidRDefault="004326B6" w:rsidP="004326B6">
      <w:pPr>
        <w:numPr>
          <w:ilvl w:val="1"/>
          <w:numId w:val="10"/>
        </w:numPr>
        <w:spacing w:before="166" w:after="166"/>
        <w:rPr>
          <w:rFonts w:ascii="&amp;quot" w:hAnsi="&amp;quot"/>
          <w:color w:val="000000"/>
        </w:rPr>
      </w:pPr>
      <w:r>
        <w:rPr>
          <w:rFonts w:ascii="&amp;quot" w:hAnsi="&amp;quot"/>
          <w:color w:val="000000"/>
        </w:rPr>
        <w:t>Drugs</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 xml:space="preserve">Steps to evaluate </w:t>
      </w:r>
      <w:r w:rsidR="007503CB">
        <w:rPr>
          <w:rFonts w:ascii="&amp;quot" w:hAnsi="&amp;quot"/>
          <w:color w:val="000000"/>
        </w:rPr>
        <w:t>the</w:t>
      </w:r>
      <w:r>
        <w:rPr>
          <w:rFonts w:ascii="&amp;quot" w:hAnsi="&amp;quot"/>
          <w:color w:val="000000"/>
        </w:rPr>
        <w:t xml:space="preserve"> hemolytic anemia</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 xml:space="preserve">1) Confirm the presence of hemolysis- elevated LDH, corrected reticulocyte count &gt;2%, elevated indirect bilirubin and decreased/low </w:t>
      </w:r>
      <w:proofErr w:type="spellStart"/>
      <w:r>
        <w:rPr>
          <w:rFonts w:ascii="&amp;quot" w:hAnsi="&amp;quot"/>
          <w:color w:val="000000"/>
        </w:rPr>
        <w:t>haptoglobin</w:t>
      </w:r>
      <w:proofErr w:type="spellEnd"/>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2) Determine extra vs. intravascular hemolysis- </w:t>
      </w:r>
    </w:p>
    <w:p w:rsidR="004326B6" w:rsidRDefault="004326B6" w:rsidP="004326B6">
      <w:pPr>
        <w:numPr>
          <w:ilvl w:val="0"/>
          <w:numId w:val="11"/>
        </w:numPr>
        <w:spacing w:before="166" w:after="166"/>
        <w:rPr>
          <w:rFonts w:ascii="&amp;quot" w:hAnsi="&amp;quot"/>
          <w:color w:val="000000"/>
        </w:rPr>
      </w:pPr>
      <w:r>
        <w:rPr>
          <w:rFonts w:ascii="&amp;quot" w:hAnsi="&amp;quot"/>
          <w:color w:val="000000"/>
        </w:rPr>
        <w:t xml:space="preserve">Extravascular </w:t>
      </w:r>
    </w:p>
    <w:p w:rsidR="004326B6" w:rsidRDefault="004326B6" w:rsidP="004326B6">
      <w:pPr>
        <w:numPr>
          <w:ilvl w:val="1"/>
          <w:numId w:val="11"/>
        </w:numPr>
        <w:spacing w:before="166" w:after="166"/>
        <w:rPr>
          <w:rFonts w:ascii="&amp;quot" w:hAnsi="&amp;quot"/>
          <w:color w:val="000000"/>
        </w:rPr>
      </w:pPr>
      <w:proofErr w:type="spellStart"/>
      <w:r>
        <w:rPr>
          <w:rFonts w:ascii="&amp;quot" w:hAnsi="&amp;quot"/>
          <w:color w:val="000000"/>
        </w:rPr>
        <w:t>Spherocytes</w:t>
      </w:r>
      <w:proofErr w:type="spellEnd"/>
      <w:r>
        <w:rPr>
          <w:rFonts w:ascii="&amp;quot" w:hAnsi="&amp;quot"/>
          <w:color w:val="000000"/>
        </w:rPr>
        <w:t xml:space="preserve"> present</w:t>
      </w:r>
    </w:p>
    <w:p w:rsidR="004326B6" w:rsidRDefault="004326B6" w:rsidP="004326B6">
      <w:pPr>
        <w:numPr>
          <w:ilvl w:val="1"/>
          <w:numId w:val="11"/>
        </w:numPr>
        <w:spacing w:before="166" w:after="166"/>
        <w:rPr>
          <w:rFonts w:ascii="&amp;quot" w:hAnsi="&amp;quot"/>
          <w:color w:val="000000"/>
        </w:rPr>
      </w:pPr>
      <w:r>
        <w:rPr>
          <w:rFonts w:ascii="&amp;quot" w:hAnsi="&amp;quot"/>
          <w:color w:val="000000"/>
        </w:rPr>
        <w:t>Urine hemosiderin negative</w:t>
      </w:r>
    </w:p>
    <w:p w:rsidR="004326B6" w:rsidRDefault="004326B6" w:rsidP="004326B6">
      <w:pPr>
        <w:numPr>
          <w:ilvl w:val="1"/>
          <w:numId w:val="11"/>
        </w:numPr>
        <w:spacing w:before="166" w:after="166"/>
        <w:rPr>
          <w:rFonts w:ascii="&amp;quot" w:hAnsi="&amp;quot"/>
          <w:color w:val="000000"/>
        </w:rPr>
      </w:pPr>
      <w:r>
        <w:rPr>
          <w:rFonts w:ascii="&amp;quot" w:hAnsi="&amp;quot"/>
          <w:color w:val="000000"/>
        </w:rPr>
        <w:t>Urine hemoglobin negative  </w:t>
      </w:r>
    </w:p>
    <w:p w:rsidR="004326B6" w:rsidRDefault="004326B6" w:rsidP="004326B6">
      <w:pPr>
        <w:numPr>
          <w:ilvl w:val="0"/>
          <w:numId w:val="11"/>
        </w:numPr>
        <w:spacing w:before="166" w:after="166"/>
        <w:rPr>
          <w:rFonts w:ascii="&amp;quot" w:hAnsi="&amp;quot"/>
          <w:color w:val="000000"/>
        </w:rPr>
      </w:pPr>
      <w:r>
        <w:rPr>
          <w:rFonts w:ascii="&amp;quot" w:hAnsi="&amp;quot"/>
          <w:color w:val="000000"/>
        </w:rPr>
        <w:t xml:space="preserve">Intravascular </w:t>
      </w:r>
    </w:p>
    <w:p w:rsidR="004326B6" w:rsidRDefault="004326B6" w:rsidP="004326B6">
      <w:pPr>
        <w:numPr>
          <w:ilvl w:val="1"/>
          <w:numId w:val="11"/>
        </w:numPr>
        <w:spacing w:before="166" w:after="166"/>
        <w:rPr>
          <w:rFonts w:ascii="&amp;quot" w:hAnsi="&amp;quot"/>
          <w:color w:val="000000"/>
        </w:rPr>
      </w:pPr>
      <w:r>
        <w:rPr>
          <w:rFonts w:ascii="&amp;quot" w:hAnsi="&amp;quot"/>
          <w:color w:val="000000"/>
        </w:rPr>
        <w:t>Urine hemosiderin elevated</w:t>
      </w:r>
    </w:p>
    <w:p w:rsidR="004326B6" w:rsidRDefault="004326B6" w:rsidP="004326B6">
      <w:pPr>
        <w:numPr>
          <w:ilvl w:val="1"/>
          <w:numId w:val="11"/>
        </w:numPr>
        <w:spacing w:before="166" w:after="166"/>
        <w:rPr>
          <w:rFonts w:ascii="&amp;quot" w:hAnsi="&amp;quot"/>
          <w:color w:val="000000"/>
        </w:rPr>
      </w:pPr>
      <w:r>
        <w:rPr>
          <w:rFonts w:ascii="&amp;quot" w:hAnsi="&amp;quot"/>
          <w:color w:val="000000"/>
        </w:rPr>
        <w:t>Urine hemoglobin elevated</w:t>
      </w:r>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3) Examine the peripheral blood smear </w:t>
      </w:r>
      <w:hyperlink r:id="rId349" w:history="1">
        <w:r>
          <w:rPr>
            <w:rStyle w:val="Hyperlink"/>
            <w:rFonts w:ascii="&amp;quot" w:hAnsi="&amp;quot"/>
            <w:color w:val="2F4A8B"/>
          </w:rPr>
          <w:t>[9]</w:t>
        </w:r>
      </w:hyperlink>
    </w:p>
    <w:p w:rsidR="004326B6" w:rsidRDefault="004326B6" w:rsidP="004326B6">
      <w:pPr>
        <w:numPr>
          <w:ilvl w:val="0"/>
          <w:numId w:val="12"/>
        </w:numPr>
        <w:spacing w:before="166" w:after="166"/>
        <w:rPr>
          <w:rFonts w:ascii="&amp;quot" w:hAnsi="&amp;quot"/>
          <w:color w:val="000000"/>
        </w:rPr>
      </w:pPr>
      <w:proofErr w:type="spellStart"/>
      <w:r>
        <w:rPr>
          <w:rFonts w:ascii="&amp;quot" w:hAnsi="&amp;quot"/>
          <w:color w:val="000000"/>
        </w:rPr>
        <w:t>Spherocytes</w:t>
      </w:r>
      <w:proofErr w:type="spellEnd"/>
      <w:r>
        <w:rPr>
          <w:rFonts w:ascii="&amp;quot" w:hAnsi="&amp;quot"/>
          <w:color w:val="000000"/>
        </w:rPr>
        <w:t xml:space="preserve">: immune hemolytic anemia (Direct </w:t>
      </w:r>
      <w:proofErr w:type="spellStart"/>
      <w:r>
        <w:rPr>
          <w:rFonts w:ascii="&amp;quot" w:hAnsi="&amp;quot"/>
          <w:color w:val="000000"/>
        </w:rPr>
        <w:t>antiglobulin</w:t>
      </w:r>
      <w:proofErr w:type="spellEnd"/>
      <w:r>
        <w:rPr>
          <w:rFonts w:ascii="&amp;quot" w:hAnsi="&amp;quot"/>
          <w:color w:val="000000"/>
        </w:rPr>
        <w:t xml:space="preserve"> test DAT+) vs. hereditary spherocytosis (DAT-)</w:t>
      </w:r>
    </w:p>
    <w:p w:rsidR="004326B6" w:rsidRDefault="004326B6" w:rsidP="004326B6">
      <w:pPr>
        <w:numPr>
          <w:ilvl w:val="0"/>
          <w:numId w:val="12"/>
        </w:numPr>
        <w:spacing w:before="166" w:after="166"/>
        <w:rPr>
          <w:rFonts w:ascii="&amp;quot" w:hAnsi="&amp;quot"/>
          <w:color w:val="000000"/>
        </w:rPr>
      </w:pPr>
      <w:r>
        <w:rPr>
          <w:rFonts w:ascii="&amp;quot" w:hAnsi="&amp;quot"/>
          <w:color w:val="000000"/>
        </w:rPr>
        <w:t>Bite cells: G6PD deficiency </w:t>
      </w:r>
    </w:p>
    <w:p w:rsidR="004326B6" w:rsidRDefault="004326B6" w:rsidP="004326B6">
      <w:pPr>
        <w:numPr>
          <w:ilvl w:val="0"/>
          <w:numId w:val="12"/>
        </w:numPr>
        <w:spacing w:before="166" w:after="166"/>
        <w:rPr>
          <w:rFonts w:ascii="&amp;quot" w:hAnsi="&amp;quot"/>
          <w:color w:val="000000"/>
        </w:rPr>
      </w:pPr>
      <w:r>
        <w:rPr>
          <w:rFonts w:ascii="&amp;quot" w:hAnsi="&amp;quot"/>
          <w:color w:val="000000"/>
        </w:rPr>
        <w:t xml:space="preserve">Target cells: </w:t>
      </w:r>
      <w:proofErr w:type="spellStart"/>
      <w:r>
        <w:rPr>
          <w:rFonts w:ascii="&amp;quot" w:hAnsi="&amp;quot"/>
          <w:color w:val="000000"/>
        </w:rPr>
        <w:t>hemoglobinopathy</w:t>
      </w:r>
      <w:proofErr w:type="spellEnd"/>
      <w:r>
        <w:rPr>
          <w:rFonts w:ascii="&amp;quot" w:hAnsi="&amp;quot"/>
          <w:color w:val="000000"/>
        </w:rPr>
        <w:t xml:space="preserve"> or liver disease </w:t>
      </w:r>
    </w:p>
    <w:p w:rsidR="004326B6" w:rsidRDefault="004326B6" w:rsidP="004326B6">
      <w:pPr>
        <w:numPr>
          <w:ilvl w:val="0"/>
          <w:numId w:val="12"/>
        </w:numPr>
        <w:spacing w:before="166" w:after="166"/>
        <w:rPr>
          <w:rFonts w:ascii="&amp;quot" w:hAnsi="&amp;quot"/>
          <w:color w:val="000000"/>
        </w:rPr>
      </w:pPr>
      <w:proofErr w:type="spellStart"/>
      <w:r>
        <w:rPr>
          <w:rFonts w:ascii="&amp;quot" w:hAnsi="&amp;quot"/>
          <w:color w:val="000000"/>
        </w:rPr>
        <w:t>Schistocytes</w:t>
      </w:r>
      <w:proofErr w:type="spellEnd"/>
      <w:r>
        <w:rPr>
          <w:rFonts w:ascii="&amp;quot" w:hAnsi="&amp;quot"/>
          <w:color w:val="000000"/>
        </w:rPr>
        <w:t>: TTP/HUS, DIC, prosthetic valve, malignant HTN</w:t>
      </w:r>
    </w:p>
    <w:p w:rsidR="004326B6" w:rsidRDefault="004326B6" w:rsidP="004326B6">
      <w:pPr>
        <w:numPr>
          <w:ilvl w:val="0"/>
          <w:numId w:val="12"/>
        </w:numPr>
        <w:spacing w:before="166" w:after="166"/>
        <w:rPr>
          <w:rFonts w:ascii="&amp;quot" w:hAnsi="&amp;quot"/>
          <w:color w:val="000000"/>
        </w:rPr>
      </w:pPr>
      <w:proofErr w:type="spellStart"/>
      <w:r>
        <w:rPr>
          <w:rFonts w:ascii="&amp;quot" w:hAnsi="&amp;quot"/>
          <w:color w:val="000000"/>
        </w:rPr>
        <w:t>Acanthocytes</w:t>
      </w:r>
      <w:proofErr w:type="spellEnd"/>
      <w:r>
        <w:rPr>
          <w:rFonts w:ascii="&amp;quot" w:hAnsi="&amp;quot"/>
          <w:color w:val="000000"/>
        </w:rPr>
        <w:t>: liver disease</w:t>
      </w:r>
    </w:p>
    <w:p w:rsidR="004326B6" w:rsidRDefault="004326B6" w:rsidP="004326B6">
      <w:pPr>
        <w:numPr>
          <w:ilvl w:val="0"/>
          <w:numId w:val="12"/>
        </w:numPr>
        <w:spacing w:before="166" w:after="166"/>
        <w:rPr>
          <w:rFonts w:ascii="&amp;quot" w:hAnsi="&amp;quot"/>
          <w:color w:val="000000"/>
        </w:rPr>
      </w:pPr>
      <w:r>
        <w:rPr>
          <w:rFonts w:ascii="&amp;quot" w:hAnsi="&amp;quot"/>
          <w:color w:val="000000"/>
        </w:rPr>
        <w:t xml:space="preserve">Parasitic inclusions: malaria, </w:t>
      </w:r>
      <w:proofErr w:type="spellStart"/>
      <w:r>
        <w:rPr>
          <w:rFonts w:ascii="&amp;quot" w:hAnsi="&amp;quot"/>
          <w:color w:val="000000"/>
        </w:rPr>
        <w:t>babesiosis</w:t>
      </w:r>
      <w:proofErr w:type="spellEnd"/>
      <w:r>
        <w:rPr>
          <w:rFonts w:ascii="&amp;quot" w:hAnsi="&amp;quot"/>
          <w:color w:val="000000"/>
        </w:rPr>
        <w:t xml:space="preserve">, </w:t>
      </w:r>
      <w:proofErr w:type="spellStart"/>
      <w:r>
        <w:rPr>
          <w:rFonts w:ascii="&amp;quot" w:hAnsi="&amp;quot"/>
          <w:color w:val="000000"/>
        </w:rPr>
        <w:t>bartonellosis</w:t>
      </w:r>
      <w:proofErr w:type="spellEnd"/>
    </w:p>
    <w:p w:rsidR="004326B6" w:rsidRDefault="004326B6" w:rsidP="004326B6">
      <w:pPr>
        <w:pStyle w:val="NormalWeb"/>
        <w:spacing w:before="166" w:beforeAutospacing="0" w:after="166" w:afterAutospacing="0"/>
        <w:rPr>
          <w:rFonts w:ascii="&amp;quot" w:hAnsi="&amp;quot"/>
          <w:color w:val="000000"/>
        </w:rPr>
      </w:pPr>
      <w:r>
        <w:rPr>
          <w:rFonts w:ascii="&amp;quot" w:hAnsi="&amp;quot"/>
          <w:color w:val="000000"/>
        </w:rPr>
        <w:t xml:space="preserve">4) If </w:t>
      </w:r>
      <w:proofErr w:type="spellStart"/>
      <w:r>
        <w:rPr>
          <w:rFonts w:ascii="&amp;quot" w:hAnsi="&amp;quot"/>
          <w:color w:val="000000"/>
        </w:rPr>
        <w:t>spherocytes</w:t>
      </w:r>
      <w:proofErr w:type="spellEnd"/>
      <w:r>
        <w:rPr>
          <w:rFonts w:ascii="&amp;quot" w:hAnsi="&amp;quot"/>
          <w:color w:val="000000"/>
        </w:rPr>
        <w:t xml:space="preserve"> +, check if DAT is + </w:t>
      </w:r>
    </w:p>
    <w:p w:rsidR="004326B6" w:rsidRDefault="004326B6" w:rsidP="004326B6">
      <w:pPr>
        <w:numPr>
          <w:ilvl w:val="0"/>
          <w:numId w:val="13"/>
        </w:numPr>
        <w:spacing w:before="166" w:after="166"/>
        <w:rPr>
          <w:rFonts w:ascii="&amp;quot" w:hAnsi="&amp;quot"/>
          <w:color w:val="000000"/>
        </w:rPr>
      </w:pPr>
      <w:r>
        <w:rPr>
          <w:rFonts w:ascii="&amp;quot" w:hAnsi="&amp;quot"/>
          <w:color w:val="000000"/>
        </w:rPr>
        <w:t>DAT(+): Immune hemolytic anemia (AIHA)</w:t>
      </w:r>
    </w:p>
    <w:p w:rsidR="004326B6" w:rsidRDefault="004326B6" w:rsidP="004326B6">
      <w:pPr>
        <w:numPr>
          <w:ilvl w:val="0"/>
          <w:numId w:val="13"/>
        </w:numPr>
        <w:spacing w:before="166" w:after="166"/>
        <w:rPr>
          <w:rFonts w:ascii="&amp;quot" w:hAnsi="&amp;quot"/>
          <w:color w:val="000000"/>
        </w:rPr>
      </w:pPr>
      <w:r>
        <w:rPr>
          <w:rFonts w:ascii="&amp;quot" w:hAnsi="&amp;quot"/>
          <w:color w:val="000000"/>
        </w:rPr>
        <w:t>DAT (-): Hereditary spherocytosis </w:t>
      </w:r>
    </w:p>
    <w:p w:rsidR="004326B6" w:rsidRDefault="004326B6" w:rsidP="007503CB">
      <w:pPr>
        <w:pStyle w:val="NormalWeb"/>
        <w:spacing w:before="166" w:beforeAutospacing="0" w:after="166" w:afterAutospacing="0"/>
        <w:rPr>
          <w:rFonts w:ascii="&amp;quot" w:hAnsi="&amp;quot"/>
          <w:color w:val="000000"/>
        </w:rPr>
      </w:pPr>
      <w:r>
        <w:rPr>
          <w:rFonts w:ascii="&amp;quot" w:hAnsi="&amp;quot"/>
          <w:color w:val="000000"/>
        </w:rPr>
        <w:lastRenderedPageBreak/>
        <w:t xml:space="preserve">Other investigations that might be warranted include esophagogastroduodenoscopy for the determination of an upper GI bleed, colonoscopy for the determination of a lower GI bleed, and imaging studies if malignancy, or internal hemorrhage is suspected. </w:t>
      </w:r>
    </w:p>
    <w:p w:rsidR="007503CB" w:rsidRPr="007503CB" w:rsidRDefault="007503CB" w:rsidP="007503CB">
      <w:pPr>
        <w:pStyle w:val="NormalWeb"/>
        <w:spacing w:before="166" w:beforeAutospacing="0" w:after="166" w:afterAutospacing="0"/>
        <w:rPr>
          <w:rFonts w:ascii="&amp;quot" w:hAnsi="&amp;quot"/>
          <w:b/>
          <w:color w:val="000000"/>
        </w:rPr>
      </w:pPr>
      <w:r w:rsidRPr="007503CB">
        <w:rPr>
          <w:rFonts w:ascii="&amp;quot" w:hAnsi="&amp;quot"/>
          <w:b/>
          <w:color w:val="000000"/>
        </w:rPr>
        <w:t>Management</w:t>
      </w:r>
    </w:p>
    <w:p w:rsidR="007503CB" w:rsidRDefault="007503CB" w:rsidP="007503CB">
      <w:pPr>
        <w:pStyle w:val="NormalWeb"/>
        <w:spacing w:before="166" w:beforeAutospacing="0" w:after="166" w:afterAutospacing="0"/>
        <w:rPr>
          <w:rFonts w:ascii="&amp;quot" w:hAnsi="&amp;quot"/>
          <w:color w:val="000000"/>
        </w:rPr>
      </w:pPr>
      <w:r>
        <w:rPr>
          <w:rFonts w:ascii="&amp;quot" w:hAnsi="&amp;quot"/>
          <w:color w:val="000000"/>
        </w:rPr>
        <w:t>Management depends primarily on treating the underlying cause of anemia.</w:t>
      </w:r>
    </w:p>
    <w:p w:rsidR="007503CB" w:rsidRDefault="007503CB" w:rsidP="007503CB">
      <w:pPr>
        <w:pStyle w:val="NormalWeb"/>
        <w:spacing w:before="166" w:beforeAutospacing="0" w:after="166" w:afterAutospacing="0"/>
        <w:rPr>
          <w:rFonts w:ascii="&amp;quot" w:hAnsi="&amp;quot"/>
          <w:color w:val="000000"/>
        </w:rPr>
      </w:pPr>
      <w:r>
        <w:rPr>
          <w:rFonts w:ascii="&amp;quot" w:hAnsi="&amp;quot"/>
          <w:color w:val="000000"/>
        </w:rPr>
        <w:t xml:space="preserve">1) Anemia due to acute blood loss- Treat with IV fluids, </w:t>
      </w:r>
      <w:proofErr w:type="spellStart"/>
      <w:r>
        <w:rPr>
          <w:rFonts w:ascii="&amp;quot" w:hAnsi="&amp;quot"/>
          <w:color w:val="000000"/>
        </w:rPr>
        <w:t>crossmatched</w:t>
      </w:r>
      <w:proofErr w:type="spellEnd"/>
      <w:r>
        <w:rPr>
          <w:rFonts w:ascii="&amp;quot" w:hAnsi="&amp;quot"/>
          <w:color w:val="000000"/>
        </w:rPr>
        <w:t xml:space="preserve"> packed red blood cells, oxygen. Always remember to obtain at least two large-bore IV lines for the administration of fluid and blood products. Maintain hemoglobin of &gt; 7 g/</w:t>
      </w:r>
      <w:proofErr w:type="spellStart"/>
      <w:r>
        <w:rPr>
          <w:rFonts w:ascii="&amp;quot" w:hAnsi="&amp;quot"/>
          <w:color w:val="000000"/>
        </w:rPr>
        <w:t>dL</w:t>
      </w:r>
      <w:proofErr w:type="spellEnd"/>
      <w:r>
        <w:rPr>
          <w:rFonts w:ascii="&amp;quot" w:hAnsi="&amp;quot"/>
          <w:color w:val="000000"/>
        </w:rPr>
        <w:t xml:space="preserve"> in a majority of patients. Those with cardiovascular disease require a higher hemoglobin goal of &gt; 8 g/</w:t>
      </w:r>
      <w:proofErr w:type="spellStart"/>
      <w:r>
        <w:rPr>
          <w:rFonts w:ascii="&amp;quot" w:hAnsi="&amp;quot"/>
          <w:color w:val="000000"/>
        </w:rPr>
        <w:t>dL</w:t>
      </w:r>
      <w:proofErr w:type="spellEnd"/>
      <w:r>
        <w:rPr>
          <w:rFonts w:ascii="&amp;quot" w:hAnsi="&amp;quot"/>
          <w:color w:val="000000"/>
        </w:rPr>
        <w:t>.</w:t>
      </w:r>
    </w:p>
    <w:p w:rsidR="007503CB" w:rsidRDefault="007503CB" w:rsidP="007503CB">
      <w:pPr>
        <w:pStyle w:val="NormalWeb"/>
        <w:spacing w:before="166" w:beforeAutospacing="0" w:after="166" w:afterAutospacing="0"/>
        <w:rPr>
          <w:rFonts w:ascii="&amp;quot" w:hAnsi="&amp;quot"/>
          <w:color w:val="000000"/>
        </w:rPr>
      </w:pPr>
      <w:r>
        <w:rPr>
          <w:rFonts w:ascii="&amp;quot" w:hAnsi="&amp;quot"/>
          <w:color w:val="000000"/>
        </w:rPr>
        <w:t>2) Anemia due to nutritional deficiencies: Oral/IV iron, B12, and folate. </w:t>
      </w:r>
    </w:p>
    <w:p w:rsidR="007503CB" w:rsidRDefault="007503CB" w:rsidP="007503CB">
      <w:pPr>
        <w:numPr>
          <w:ilvl w:val="0"/>
          <w:numId w:val="14"/>
        </w:numPr>
        <w:spacing w:before="166" w:after="166"/>
        <w:rPr>
          <w:rFonts w:ascii="&amp;quot" w:hAnsi="&amp;quot"/>
          <w:color w:val="000000"/>
        </w:rPr>
      </w:pPr>
      <w:r>
        <w:rPr>
          <w:rFonts w:ascii="&amp;quot" w:hAnsi="&amp;quot"/>
          <w:color w:val="000000"/>
        </w:rPr>
        <w:t>Oral supplementation of iron is by far the most common method of iron repletion. The dose of iron administered depends on the patient's age, calculated iron deficit, the rate of correction required, and the ability to tolerate side effects. The most common side effects include metallic taste and gastrointestinal side effects such as constipation and black tarry stools. For such individuals, they are advised to take oral iron every other day, in order to aid in improved GI absorption. The hemoglobin will usually normalize in 6-8 weeks, with an increase in reticulocyte count in just 7-10 days.  </w:t>
      </w:r>
    </w:p>
    <w:p w:rsidR="007503CB" w:rsidRDefault="007503CB" w:rsidP="007503CB">
      <w:pPr>
        <w:numPr>
          <w:ilvl w:val="0"/>
          <w:numId w:val="14"/>
        </w:numPr>
        <w:spacing w:before="166" w:after="166"/>
        <w:rPr>
          <w:rFonts w:ascii="&amp;quot" w:hAnsi="&amp;quot"/>
          <w:color w:val="000000"/>
        </w:rPr>
      </w:pPr>
      <w:r>
        <w:rPr>
          <w:rFonts w:ascii="&amp;quot" w:hAnsi="&amp;quot"/>
          <w:color w:val="000000"/>
        </w:rPr>
        <w:t> IV iron may be beneficial in patients requiring a rapid increase in levels. Patients with acute and ongoing blood loss or patients with intolerable side effects are candidates for IV iron.</w:t>
      </w:r>
    </w:p>
    <w:p w:rsidR="007503CB" w:rsidRDefault="007503CB" w:rsidP="007503CB">
      <w:pPr>
        <w:pStyle w:val="NormalWeb"/>
        <w:spacing w:before="166" w:beforeAutospacing="0" w:after="166" w:afterAutospacing="0"/>
        <w:rPr>
          <w:rFonts w:ascii="&amp;quot" w:hAnsi="&amp;quot"/>
          <w:color w:val="000000"/>
        </w:rPr>
      </w:pPr>
      <w:r>
        <w:rPr>
          <w:rFonts w:ascii="&amp;quot" w:hAnsi="&amp;quot"/>
          <w:color w:val="000000"/>
        </w:rPr>
        <w:t>3) Anemia due to defects in the bone marrow and stem cells: Conditions such as aplastic anemia require bone marrow transplantation.</w:t>
      </w:r>
    </w:p>
    <w:p w:rsidR="007503CB" w:rsidRDefault="007503CB" w:rsidP="007503CB">
      <w:pPr>
        <w:pStyle w:val="NormalWeb"/>
        <w:spacing w:before="166" w:beforeAutospacing="0" w:after="166" w:afterAutospacing="0"/>
        <w:rPr>
          <w:rFonts w:ascii="&amp;quot" w:hAnsi="&amp;quot"/>
          <w:color w:val="000000"/>
        </w:rPr>
      </w:pPr>
      <w:r>
        <w:rPr>
          <w:rFonts w:ascii="&amp;quot" w:hAnsi="&amp;quot"/>
          <w:color w:val="000000"/>
        </w:rPr>
        <w:t xml:space="preserve">4) Anemia due to chronic disease: Anemia in the setting of renal failure, responds to erythropoietin. Autoimmune and </w:t>
      </w:r>
      <w:proofErr w:type="spellStart"/>
      <w:r>
        <w:rPr>
          <w:rFonts w:ascii="&amp;quot" w:hAnsi="&amp;quot"/>
          <w:color w:val="000000"/>
        </w:rPr>
        <w:t>rheumatological</w:t>
      </w:r>
      <w:proofErr w:type="spellEnd"/>
      <w:r>
        <w:rPr>
          <w:rFonts w:ascii="&amp;quot" w:hAnsi="&amp;quot"/>
          <w:color w:val="000000"/>
        </w:rPr>
        <w:t xml:space="preserve"> conditions causing anemia require treatment of the underlying disease. </w:t>
      </w:r>
    </w:p>
    <w:p w:rsidR="007503CB" w:rsidRDefault="007503CB" w:rsidP="007503CB">
      <w:pPr>
        <w:pStyle w:val="NormalWeb"/>
        <w:spacing w:before="166" w:beforeAutospacing="0" w:after="166" w:afterAutospacing="0"/>
        <w:rPr>
          <w:rFonts w:ascii="&amp;quot" w:hAnsi="&amp;quot"/>
          <w:color w:val="000000"/>
        </w:rPr>
      </w:pPr>
      <w:r>
        <w:rPr>
          <w:rFonts w:ascii="&amp;quot" w:hAnsi="&amp;quot"/>
          <w:color w:val="000000"/>
        </w:rPr>
        <w:t>5) Anemia due to increased red blood cell destruction:</w:t>
      </w:r>
    </w:p>
    <w:p w:rsidR="007503CB" w:rsidRDefault="007503CB" w:rsidP="007503CB">
      <w:pPr>
        <w:numPr>
          <w:ilvl w:val="0"/>
          <w:numId w:val="15"/>
        </w:numPr>
        <w:spacing w:before="166" w:after="166"/>
        <w:rPr>
          <w:rFonts w:ascii="&amp;quot" w:hAnsi="&amp;quot"/>
          <w:color w:val="000000"/>
        </w:rPr>
      </w:pPr>
      <w:r>
        <w:rPr>
          <w:rFonts w:ascii="&amp;quot" w:hAnsi="&amp;quot"/>
          <w:color w:val="000000"/>
        </w:rPr>
        <w:t>Hemolytic anemia caused by faulty mechanical valves will need replacement.</w:t>
      </w:r>
    </w:p>
    <w:p w:rsidR="007503CB" w:rsidRDefault="007503CB" w:rsidP="007503CB">
      <w:pPr>
        <w:numPr>
          <w:ilvl w:val="0"/>
          <w:numId w:val="15"/>
        </w:numPr>
        <w:spacing w:before="166" w:after="166"/>
        <w:rPr>
          <w:rFonts w:ascii="&amp;quot" w:hAnsi="&amp;quot"/>
          <w:color w:val="000000"/>
        </w:rPr>
      </w:pPr>
      <w:r>
        <w:rPr>
          <w:rFonts w:ascii="&amp;quot" w:hAnsi="&amp;quot"/>
          <w:color w:val="000000"/>
        </w:rPr>
        <w:t>Hemolytic anemia due to medications requires the removal of the offending drug.</w:t>
      </w:r>
    </w:p>
    <w:p w:rsidR="007503CB" w:rsidRDefault="007503CB" w:rsidP="007503CB">
      <w:pPr>
        <w:numPr>
          <w:ilvl w:val="0"/>
          <w:numId w:val="15"/>
        </w:numPr>
        <w:spacing w:before="166" w:after="166"/>
        <w:rPr>
          <w:rFonts w:ascii="&amp;quot" w:hAnsi="&amp;quot"/>
          <w:color w:val="000000"/>
        </w:rPr>
      </w:pPr>
      <w:r>
        <w:rPr>
          <w:rFonts w:ascii="&amp;quot" w:hAnsi="&amp;quot"/>
          <w:color w:val="000000"/>
        </w:rPr>
        <w:t>Persistent hemolytic anemia requires splenectomy.</w:t>
      </w:r>
    </w:p>
    <w:p w:rsidR="007503CB" w:rsidRDefault="007503CB" w:rsidP="007503CB">
      <w:pPr>
        <w:numPr>
          <w:ilvl w:val="0"/>
          <w:numId w:val="15"/>
        </w:numPr>
        <w:spacing w:before="166" w:after="166"/>
        <w:rPr>
          <w:rFonts w:ascii="&amp;quot" w:hAnsi="&amp;quot"/>
          <w:color w:val="000000"/>
        </w:rPr>
      </w:pPr>
      <w:proofErr w:type="spellStart"/>
      <w:r>
        <w:rPr>
          <w:rFonts w:ascii="&amp;quot" w:hAnsi="&amp;quot"/>
          <w:color w:val="000000"/>
        </w:rPr>
        <w:t>Hemoglobinopathies</w:t>
      </w:r>
      <w:proofErr w:type="spellEnd"/>
      <w:r>
        <w:rPr>
          <w:rFonts w:ascii="&amp;quot" w:hAnsi="&amp;quot"/>
          <w:color w:val="000000"/>
        </w:rPr>
        <w:t xml:space="preserve"> such as sickle anemia require blood transfusions, exchange transfusions, and even hydroxyurea to decrease the incidence of sickling.</w:t>
      </w:r>
    </w:p>
    <w:p w:rsidR="007503CB" w:rsidRDefault="007503CB" w:rsidP="007503CB">
      <w:pPr>
        <w:pStyle w:val="NormalWeb"/>
        <w:spacing w:before="166" w:beforeAutospacing="0" w:after="166" w:afterAutospacing="0"/>
        <w:rPr>
          <w:rFonts w:ascii="&amp;quot" w:hAnsi="&amp;quot"/>
          <w:color w:val="000000"/>
        </w:rPr>
      </w:pPr>
    </w:p>
    <w:p w:rsidR="004326B6" w:rsidRPr="005E6A4F" w:rsidRDefault="004326B6" w:rsidP="004326B6">
      <w:pPr>
        <w:spacing w:before="166" w:after="166"/>
        <w:ind w:left="720"/>
        <w:rPr>
          <w:rFonts w:ascii="&amp;quot" w:hAnsi="&amp;quot"/>
          <w:color w:val="000000"/>
        </w:rPr>
      </w:pPr>
    </w:p>
    <w:p w:rsidR="00157810" w:rsidRPr="00CF6D50" w:rsidRDefault="00157810" w:rsidP="00157810">
      <w:pPr>
        <w:pStyle w:val="NormalWeb"/>
        <w:spacing w:before="120" w:beforeAutospacing="0" w:after="120" w:afterAutospacing="0"/>
        <w:rPr>
          <w:rFonts w:ascii="Arial" w:hAnsi="Arial" w:cs="Arial"/>
          <w:color w:val="000000" w:themeColor="text1"/>
          <w:sz w:val="21"/>
          <w:szCs w:val="21"/>
        </w:rPr>
      </w:pPr>
    </w:p>
    <w:p w:rsidR="00157810" w:rsidRPr="00CF6D50" w:rsidRDefault="00157810" w:rsidP="00AE2262">
      <w:pPr>
        <w:pStyle w:val="NormalWeb"/>
        <w:spacing w:before="120" w:beforeAutospacing="0" w:after="120" w:afterAutospacing="0"/>
        <w:jc w:val="both"/>
        <w:rPr>
          <w:color w:val="000000" w:themeColor="text1"/>
        </w:rPr>
      </w:pPr>
    </w:p>
    <w:p w:rsidR="00C455B9" w:rsidRPr="00CF6D50" w:rsidRDefault="00C455B9" w:rsidP="00AE2262">
      <w:pPr>
        <w:jc w:val="both"/>
        <w:rPr>
          <w:color w:val="000000" w:themeColor="text1"/>
        </w:rPr>
      </w:pPr>
    </w:p>
    <w:sectPr w:rsidR="00C455B9" w:rsidRPr="00CF6D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3362E"/>
    <w:multiLevelType w:val="multilevel"/>
    <w:tmpl w:val="A58C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02204A"/>
    <w:multiLevelType w:val="multilevel"/>
    <w:tmpl w:val="FDD0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E3661B"/>
    <w:multiLevelType w:val="multilevel"/>
    <w:tmpl w:val="E56C2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4F1EA1"/>
    <w:multiLevelType w:val="multilevel"/>
    <w:tmpl w:val="9C6C6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1A5C92"/>
    <w:multiLevelType w:val="multilevel"/>
    <w:tmpl w:val="1A1ADD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376A97"/>
    <w:multiLevelType w:val="multilevel"/>
    <w:tmpl w:val="CE00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2E279A"/>
    <w:multiLevelType w:val="multilevel"/>
    <w:tmpl w:val="FA541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777ED0"/>
    <w:multiLevelType w:val="multilevel"/>
    <w:tmpl w:val="9078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F739F4"/>
    <w:multiLevelType w:val="multilevel"/>
    <w:tmpl w:val="07A6E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9B1BED"/>
    <w:multiLevelType w:val="multilevel"/>
    <w:tmpl w:val="20A2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433C78"/>
    <w:multiLevelType w:val="multilevel"/>
    <w:tmpl w:val="18F6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0A378C"/>
    <w:multiLevelType w:val="multilevel"/>
    <w:tmpl w:val="8F9E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AF7B08"/>
    <w:multiLevelType w:val="multilevel"/>
    <w:tmpl w:val="614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A12FC6"/>
    <w:multiLevelType w:val="multilevel"/>
    <w:tmpl w:val="DC288D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FC789E"/>
    <w:multiLevelType w:val="multilevel"/>
    <w:tmpl w:val="43988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14"/>
  </w:num>
  <w:num w:numId="4">
    <w:abstractNumId w:val="6"/>
  </w:num>
  <w:num w:numId="5">
    <w:abstractNumId w:val="7"/>
  </w:num>
  <w:num w:numId="6">
    <w:abstractNumId w:val="3"/>
  </w:num>
  <w:num w:numId="7">
    <w:abstractNumId w:val="10"/>
  </w:num>
  <w:num w:numId="8">
    <w:abstractNumId w:val="5"/>
  </w:num>
  <w:num w:numId="9">
    <w:abstractNumId w:val="13"/>
  </w:num>
  <w:num w:numId="10">
    <w:abstractNumId w:val="2"/>
  </w:num>
  <w:num w:numId="11">
    <w:abstractNumId w:val="4"/>
  </w:num>
  <w:num w:numId="12">
    <w:abstractNumId w:val="12"/>
  </w:num>
  <w:num w:numId="13">
    <w:abstractNumId w:val="9"/>
  </w:num>
  <w:num w:numId="14">
    <w:abstractNumId w:val="11"/>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D89"/>
    <w:rsid w:val="00157810"/>
    <w:rsid w:val="001D6453"/>
    <w:rsid w:val="002C48D7"/>
    <w:rsid w:val="004326B6"/>
    <w:rsid w:val="004D0D89"/>
    <w:rsid w:val="00585656"/>
    <w:rsid w:val="005E6A4F"/>
    <w:rsid w:val="00644D33"/>
    <w:rsid w:val="007503CB"/>
    <w:rsid w:val="00AE2262"/>
    <w:rsid w:val="00BB22A6"/>
    <w:rsid w:val="00BF1265"/>
    <w:rsid w:val="00C455B9"/>
    <w:rsid w:val="00CF6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04797-3E42-4708-824E-DAB7618D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0D89"/>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157810"/>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157810"/>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157810"/>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D0D89"/>
    <w:rPr>
      <w:color w:val="0000FF"/>
      <w:u w:val="single"/>
    </w:rPr>
  </w:style>
  <w:style w:type="paragraph" w:styleId="NormalWeb">
    <w:name w:val="Normal (Web)"/>
    <w:basedOn w:val="Normal"/>
    <w:uiPriority w:val="99"/>
    <w:unhideWhenUsed/>
    <w:rsid w:val="00C455B9"/>
    <w:pPr>
      <w:spacing w:before="100" w:beforeAutospacing="1" w:after="100" w:afterAutospacing="1"/>
    </w:pPr>
  </w:style>
  <w:style w:type="character" w:styleId="Emphasis">
    <w:name w:val="Emphasis"/>
    <w:basedOn w:val="DefaultParagraphFont"/>
    <w:uiPriority w:val="20"/>
    <w:qFormat/>
    <w:rsid w:val="001D6453"/>
    <w:rPr>
      <w:i/>
      <w:iCs/>
    </w:rPr>
  </w:style>
  <w:style w:type="character" w:customStyle="1" w:styleId="Heading2Char">
    <w:name w:val="Heading 2 Char"/>
    <w:basedOn w:val="DefaultParagraphFont"/>
    <w:link w:val="Heading2"/>
    <w:uiPriority w:val="9"/>
    <w:rsid w:val="0015781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5781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57810"/>
    <w:rPr>
      <w:rFonts w:ascii="Times New Roman" w:eastAsia="Times New Roman" w:hAnsi="Times New Roman" w:cs="Times New Roman"/>
      <w:b/>
      <w:bCs/>
      <w:sz w:val="24"/>
      <w:szCs w:val="24"/>
    </w:rPr>
  </w:style>
  <w:style w:type="character" w:customStyle="1" w:styleId="HTMLPreformattedChar">
    <w:name w:val="HTML Preformatted Char"/>
    <w:basedOn w:val="DefaultParagraphFont"/>
    <w:link w:val="HTMLPreformatted"/>
    <w:uiPriority w:val="99"/>
    <w:semiHidden/>
    <w:rsid w:val="00157810"/>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157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ListParagraph">
    <w:name w:val="List Paragraph"/>
    <w:basedOn w:val="Normal"/>
    <w:uiPriority w:val="34"/>
    <w:qFormat/>
    <w:rsid w:val="004326B6"/>
    <w:pPr>
      <w:ind w:left="720"/>
      <w:contextualSpacing/>
    </w:pPr>
  </w:style>
  <w:style w:type="character" w:styleId="FollowedHyperlink">
    <w:name w:val="FollowedHyperlink"/>
    <w:basedOn w:val="DefaultParagraphFont"/>
    <w:uiPriority w:val="99"/>
    <w:semiHidden/>
    <w:unhideWhenUsed/>
    <w:rsid w:val="004326B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520158">
      <w:bodyDiv w:val="1"/>
      <w:marLeft w:val="0"/>
      <w:marRight w:val="0"/>
      <w:marTop w:val="0"/>
      <w:marBottom w:val="0"/>
      <w:divBdr>
        <w:top w:val="none" w:sz="0" w:space="0" w:color="auto"/>
        <w:left w:val="none" w:sz="0" w:space="0" w:color="auto"/>
        <w:bottom w:val="none" w:sz="0" w:space="0" w:color="auto"/>
        <w:right w:val="none" w:sz="0" w:space="0" w:color="auto"/>
      </w:divBdr>
      <w:divsChild>
        <w:div w:id="498808129">
          <w:marLeft w:val="0"/>
          <w:marRight w:val="0"/>
          <w:marTop w:val="0"/>
          <w:marBottom w:val="0"/>
          <w:divBdr>
            <w:top w:val="none" w:sz="0" w:space="0" w:color="auto"/>
            <w:left w:val="none" w:sz="0" w:space="0" w:color="auto"/>
            <w:bottom w:val="none" w:sz="0" w:space="0" w:color="auto"/>
            <w:right w:val="none" w:sz="0" w:space="0" w:color="auto"/>
          </w:divBdr>
        </w:div>
        <w:div w:id="618874413">
          <w:marLeft w:val="0"/>
          <w:marRight w:val="0"/>
          <w:marTop w:val="0"/>
          <w:marBottom w:val="0"/>
          <w:divBdr>
            <w:top w:val="none" w:sz="0" w:space="0" w:color="auto"/>
            <w:left w:val="none" w:sz="0" w:space="0" w:color="auto"/>
            <w:bottom w:val="none" w:sz="0" w:space="0" w:color="auto"/>
            <w:right w:val="none" w:sz="0" w:space="0" w:color="auto"/>
          </w:divBdr>
        </w:div>
        <w:div w:id="1314523315">
          <w:marLeft w:val="0"/>
          <w:marRight w:val="0"/>
          <w:marTop w:val="0"/>
          <w:marBottom w:val="0"/>
          <w:divBdr>
            <w:top w:val="none" w:sz="0" w:space="0" w:color="auto"/>
            <w:left w:val="none" w:sz="0" w:space="0" w:color="auto"/>
            <w:bottom w:val="none" w:sz="0" w:space="0" w:color="auto"/>
            <w:right w:val="none" w:sz="0" w:space="0" w:color="auto"/>
          </w:divBdr>
        </w:div>
        <w:div w:id="1335261675">
          <w:marLeft w:val="0"/>
          <w:marRight w:val="0"/>
          <w:marTop w:val="0"/>
          <w:marBottom w:val="0"/>
          <w:divBdr>
            <w:top w:val="none" w:sz="0" w:space="0" w:color="auto"/>
            <w:left w:val="none" w:sz="0" w:space="0" w:color="auto"/>
            <w:bottom w:val="none" w:sz="0" w:space="0" w:color="auto"/>
            <w:right w:val="none" w:sz="0" w:space="0" w:color="auto"/>
          </w:divBdr>
        </w:div>
        <w:div w:id="1436748673">
          <w:marLeft w:val="0"/>
          <w:marRight w:val="0"/>
          <w:marTop w:val="0"/>
          <w:marBottom w:val="0"/>
          <w:divBdr>
            <w:top w:val="none" w:sz="0" w:space="0" w:color="auto"/>
            <w:left w:val="none" w:sz="0" w:space="0" w:color="auto"/>
            <w:bottom w:val="none" w:sz="0" w:space="0" w:color="auto"/>
            <w:right w:val="none" w:sz="0" w:space="0" w:color="auto"/>
          </w:divBdr>
        </w:div>
        <w:div w:id="1411005668">
          <w:marLeft w:val="0"/>
          <w:marRight w:val="0"/>
          <w:marTop w:val="0"/>
          <w:marBottom w:val="0"/>
          <w:divBdr>
            <w:top w:val="none" w:sz="0" w:space="0" w:color="auto"/>
            <w:left w:val="none" w:sz="0" w:space="0" w:color="auto"/>
            <w:bottom w:val="none" w:sz="0" w:space="0" w:color="auto"/>
            <w:right w:val="none" w:sz="0" w:space="0" w:color="auto"/>
          </w:divBdr>
        </w:div>
      </w:divsChild>
    </w:div>
    <w:div w:id="394933095">
      <w:bodyDiv w:val="1"/>
      <w:marLeft w:val="0"/>
      <w:marRight w:val="0"/>
      <w:marTop w:val="0"/>
      <w:marBottom w:val="0"/>
      <w:divBdr>
        <w:top w:val="none" w:sz="0" w:space="0" w:color="auto"/>
        <w:left w:val="none" w:sz="0" w:space="0" w:color="auto"/>
        <w:bottom w:val="none" w:sz="0" w:space="0" w:color="auto"/>
        <w:right w:val="none" w:sz="0" w:space="0" w:color="auto"/>
      </w:divBdr>
    </w:div>
    <w:div w:id="528180576">
      <w:bodyDiv w:val="1"/>
      <w:marLeft w:val="0"/>
      <w:marRight w:val="0"/>
      <w:marTop w:val="0"/>
      <w:marBottom w:val="0"/>
      <w:divBdr>
        <w:top w:val="none" w:sz="0" w:space="0" w:color="auto"/>
        <w:left w:val="none" w:sz="0" w:space="0" w:color="auto"/>
        <w:bottom w:val="none" w:sz="0" w:space="0" w:color="auto"/>
        <w:right w:val="none" w:sz="0" w:space="0" w:color="auto"/>
      </w:divBdr>
    </w:div>
    <w:div w:id="998195330">
      <w:bodyDiv w:val="1"/>
      <w:marLeft w:val="0"/>
      <w:marRight w:val="0"/>
      <w:marTop w:val="0"/>
      <w:marBottom w:val="0"/>
      <w:divBdr>
        <w:top w:val="none" w:sz="0" w:space="0" w:color="auto"/>
        <w:left w:val="none" w:sz="0" w:space="0" w:color="auto"/>
        <w:bottom w:val="none" w:sz="0" w:space="0" w:color="auto"/>
        <w:right w:val="none" w:sz="0" w:space="0" w:color="auto"/>
      </w:divBdr>
      <w:divsChild>
        <w:div w:id="621764886">
          <w:marLeft w:val="0"/>
          <w:marRight w:val="0"/>
          <w:marTop w:val="0"/>
          <w:marBottom w:val="0"/>
          <w:divBdr>
            <w:top w:val="none" w:sz="0" w:space="0" w:color="auto"/>
            <w:left w:val="none" w:sz="0" w:space="0" w:color="auto"/>
            <w:bottom w:val="none" w:sz="0" w:space="0" w:color="auto"/>
            <w:right w:val="none" w:sz="0" w:space="0" w:color="auto"/>
          </w:divBdr>
          <w:divsChild>
            <w:div w:id="601761802">
              <w:marLeft w:val="0"/>
              <w:marRight w:val="0"/>
              <w:marTop w:val="0"/>
              <w:marBottom w:val="0"/>
              <w:divBdr>
                <w:top w:val="none" w:sz="0" w:space="0" w:color="auto"/>
                <w:left w:val="none" w:sz="0" w:space="0" w:color="auto"/>
                <w:bottom w:val="none" w:sz="0" w:space="0" w:color="auto"/>
                <w:right w:val="none" w:sz="0" w:space="0" w:color="auto"/>
              </w:divBdr>
              <w:divsChild>
                <w:div w:id="399598780">
                  <w:marLeft w:val="0"/>
                  <w:marRight w:val="0"/>
                  <w:marTop w:val="0"/>
                  <w:marBottom w:val="0"/>
                  <w:divBdr>
                    <w:top w:val="none" w:sz="0" w:space="0" w:color="auto"/>
                    <w:left w:val="none" w:sz="0" w:space="0" w:color="auto"/>
                    <w:bottom w:val="none" w:sz="0" w:space="0" w:color="auto"/>
                    <w:right w:val="none" w:sz="0" w:space="0" w:color="auto"/>
                  </w:divBdr>
                  <w:divsChild>
                    <w:div w:id="673269182">
                      <w:marLeft w:val="0"/>
                      <w:marRight w:val="0"/>
                      <w:marTop w:val="0"/>
                      <w:marBottom w:val="0"/>
                      <w:divBdr>
                        <w:top w:val="none" w:sz="0" w:space="0" w:color="auto"/>
                        <w:left w:val="none" w:sz="0" w:space="0" w:color="auto"/>
                        <w:bottom w:val="none" w:sz="0" w:space="0" w:color="auto"/>
                        <w:right w:val="none" w:sz="0" w:space="0" w:color="auto"/>
                      </w:divBdr>
                      <w:divsChild>
                        <w:div w:id="1255866371">
                          <w:marLeft w:val="0"/>
                          <w:marRight w:val="0"/>
                          <w:marTop w:val="0"/>
                          <w:marBottom w:val="120"/>
                          <w:divBdr>
                            <w:top w:val="none" w:sz="0" w:space="0" w:color="auto"/>
                            <w:left w:val="none" w:sz="0" w:space="0" w:color="auto"/>
                            <w:bottom w:val="none" w:sz="0" w:space="0" w:color="auto"/>
                            <w:right w:val="none" w:sz="0" w:space="0" w:color="auto"/>
                          </w:divBdr>
                        </w:div>
                        <w:div w:id="2108305485">
                          <w:marLeft w:val="0"/>
                          <w:marRight w:val="0"/>
                          <w:marTop w:val="0"/>
                          <w:marBottom w:val="120"/>
                          <w:divBdr>
                            <w:top w:val="none" w:sz="0" w:space="0" w:color="auto"/>
                            <w:left w:val="none" w:sz="0" w:space="0" w:color="auto"/>
                            <w:bottom w:val="none" w:sz="0" w:space="0" w:color="auto"/>
                            <w:right w:val="none" w:sz="0" w:space="0" w:color="auto"/>
                          </w:divBdr>
                        </w:div>
                        <w:div w:id="1891645339">
                          <w:marLeft w:val="0"/>
                          <w:marRight w:val="0"/>
                          <w:marTop w:val="0"/>
                          <w:marBottom w:val="0"/>
                          <w:divBdr>
                            <w:top w:val="none" w:sz="0" w:space="0" w:color="auto"/>
                            <w:left w:val="none" w:sz="0" w:space="0" w:color="auto"/>
                            <w:bottom w:val="none" w:sz="0" w:space="0" w:color="auto"/>
                            <w:right w:val="none" w:sz="0" w:space="0" w:color="auto"/>
                          </w:divBdr>
                          <w:divsChild>
                            <w:div w:id="122775999">
                              <w:marLeft w:val="0"/>
                              <w:marRight w:val="0"/>
                              <w:marTop w:val="0"/>
                              <w:marBottom w:val="0"/>
                              <w:divBdr>
                                <w:top w:val="none" w:sz="0" w:space="0" w:color="auto"/>
                                <w:left w:val="none" w:sz="0" w:space="0" w:color="auto"/>
                                <w:bottom w:val="none" w:sz="0" w:space="0" w:color="auto"/>
                                <w:right w:val="none" w:sz="0" w:space="0" w:color="auto"/>
                              </w:divBdr>
                              <w:divsChild>
                                <w:div w:id="57108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908580">
                          <w:marLeft w:val="0"/>
                          <w:marRight w:val="0"/>
                          <w:marTop w:val="0"/>
                          <w:marBottom w:val="120"/>
                          <w:divBdr>
                            <w:top w:val="none" w:sz="0" w:space="0" w:color="auto"/>
                            <w:left w:val="none" w:sz="0" w:space="0" w:color="auto"/>
                            <w:bottom w:val="none" w:sz="0" w:space="0" w:color="auto"/>
                            <w:right w:val="none" w:sz="0" w:space="0" w:color="auto"/>
                          </w:divBdr>
                        </w:div>
                        <w:div w:id="1910386466">
                          <w:marLeft w:val="0"/>
                          <w:marRight w:val="0"/>
                          <w:marTop w:val="0"/>
                          <w:marBottom w:val="120"/>
                          <w:divBdr>
                            <w:top w:val="none" w:sz="0" w:space="0" w:color="auto"/>
                            <w:left w:val="none" w:sz="0" w:space="0" w:color="auto"/>
                            <w:bottom w:val="none" w:sz="0" w:space="0" w:color="auto"/>
                            <w:right w:val="none" w:sz="0" w:space="0" w:color="auto"/>
                          </w:divBdr>
                        </w:div>
                        <w:div w:id="987170548">
                          <w:marLeft w:val="0"/>
                          <w:marRight w:val="0"/>
                          <w:marTop w:val="0"/>
                          <w:marBottom w:val="120"/>
                          <w:divBdr>
                            <w:top w:val="none" w:sz="0" w:space="0" w:color="auto"/>
                            <w:left w:val="none" w:sz="0" w:space="0" w:color="auto"/>
                            <w:bottom w:val="none" w:sz="0" w:space="0" w:color="auto"/>
                            <w:right w:val="none" w:sz="0" w:space="0" w:color="auto"/>
                          </w:divBdr>
                        </w:div>
                        <w:div w:id="104683766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029993788">
      <w:bodyDiv w:val="1"/>
      <w:marLeft w:val="0"/>
      <w:marRight w:val="0"/>
      <w:marTop w:val="0"/>
      <w:marBottom w:val="0"/>
      <w:divBdr>
        <w:top w:val="none" w:sz="0" w:space="0" w:color="auto"/>
        <w:left w:val="none" w:sz="0" w:space="0" w:color="auto"/>
        <w:bottom w:val="none" w:sz="0" w:space="0" w:color="auto"/>
        <w:right w:val="none" w:sz="0" w:space="0" w:color="auto"/>
      </w:divBdr>
      <w:divsChild>
        <w:div w:id="651442886">
          <w:marLeft w:val="0"/>
          <w:marRight w:val="0"/>
          <w:marTop w:val="0"/>
          <w:marBottom w:val="0"/>
          <w:divBdr>
            <w:top w:val="none" w:sz="0" w:space="0" w:color="auto"/>
            <w:left w:val="none" w:sz="0" w:space="0" w:color="auto"/>
            <w:bottom w:val="none" w:sz="0" w:space="0" w:color="auto"/>
            <w:right w:val="none" w:sz="0" w:space="0" w:color="auto"/>
          </w:divBdr>
        </w:div>
        <w:div w:id="1463696178">
          <w:marLeft w:val="0"/>
          <w:marRight w:val="0"/>
          <w:marTop w:val="0"/>
          <w:marBottom w:val="0"/>
          <w:divBdr>
            <w:top w:val="none" w:sz="0" w:space="0" w:color="auto"/>
            <w:left w:val="none" w:sz="0" w:space="0" w:color="auto"/>
            <w:bottom w:val="none" w:sz="0" w:space="0" w:color="auto"/>
            <w:right w:val="none" w:sz="0" w:space="0" w:color="auto"/>
          </w:divBdr>
        </w:div>
        <w:div w:id="246156555">
          <w:marLeft w:val="0"/>
          <w:marRight w:val="0"/>
          <w:marTop w:val="0"/>
          <w:marBottom w:val="0"/>
          <w:divBdr>
            <w:top w:val="none" w:sz="0" w:space="0" w:color="auto"/>
            <w:left w:val="none" w:sz="0" w:space="0" w:color="auto"/>
            <w:bottom w:val="none" w:sz="0" w:space="0" w:color="auto"/>
            <w:right w:val="none" w:sz="0" w:space="0" w:color="auto"/>
          </w:divBdr>
        </w:div>
        <w:div w:id="1693606457">
          <w:marLeft w:val="0"/>
          <w:marRight w:val="0"/>
          <w:marTop w:val="0"/>
          <w:marBottom w:val="0"/>
          <w:divBdr>
            <w:top w:val="none" w:sz="0" w:space="0" w:color="auto"/>
            <w:left w:val="none" w:sz="0" w:space="0" w:color="auto"/>
            <w:bottom w:val="none" w:sz="0" w:space="0" w:color="auto"/>
            <w:right w:val="none" w:sz="0" w:space="0" w:color="auto"/>
          </w:divBdr>
        </w:div>
      </w:divsChild>
    </w:div>
    <w:div w:id="1200164670">
      <w:bodyDiv w:val="1"/>
      <w:marLeft w:val="0"/>
      <w:marRight w:val="0"/>
      <w:marTop w:val="0"/>
      <w:marBottom w:val="0"/>
      <w:divBdr>
        <w:top w:val="none" w:sz="0" w:space="0" w:color="auto"/>
        <w:left w:val="none" w:sz="0" w:space="0" w:color="auto"/>
        <w:bottom w:val="none" w:sz="0" w:space="0" w:color="auto"/>
        <w:right w:val="none" w:sz="0" w:space="0" w:color="auto"/>
      </w:divBdr>
    </w:div>
    <w:div w:id="1216239222">
      <w:bodyDiv w:val="1"/>
      <w:marLeft w:val="0"/>
      <w:marRight w:val="0"/>
      <w:marTop w:val="0"/>
      <w:marBottom w:val="0"/>
      <w:divBdr>
        <w:top w:val="none" w:sz="0" w:space="0" w:color="auto"/>
        <w:left w:val="none" w:sz="0" w:space="0" w:color="auto"/>
        <w:bottom w:val="none" w:sz="0" w:space="0" w:color="auto"/>
        <w:right w:val="none" w:sz="0" w:space="0" w:color="auto"/>
      </w:divBdr>
    </w:div>
    <w:div w:id="1448500307">
      <w:bodyDiv w:val="1"/>
      <w:marLeft w:val="0"/>
      <w:marRight w:val="0"/>
      <w:marTop w:val="0"/>
      <w:marBottom w:val="0"/>
      <w:divBdr>
        <w:top w:val="none" w:sz="0" w:space="0" w:color="auto"/>
        <w:left w:val="none" w:sz="0" w:space="0" w:color="auto"/>
        <w:bottom w:val="none" w:sz="0" w:space="0" w:color="auto"/>
        <w:right w:val="none" w:sz="0" w:space="0" w:color="auto"/>
      </w:divBdr>
    </w:div>
    <w:div w:id="1478642757">
      <w:bodyDiv w:val="1"/>
      <w:marLeft w:val="0"/>
      <w:marRight w:val="0"/>
      <w:marTop w:val="0"/>
      <w:marBottom w:val="0"/>
      <w:divBdr>
        <w:top w:val="none" w:sz="0" w:space="0" w:color="auto"/>
        <w:left w:val="none" w:sz="0" w:space="0" w:color="auto"/>
        <w:bottom w:val="none" w:sz="0" w:space="0" w:color="auto"/>
        <w:right w:val="none" w:sz="0" w:space="0" w:color="auto"/>
      </w:divBdr>
    </w:div>
    <w:div w:id="1530335369">
      <w:bodyDiv w:val="1"/>
      <w:marLeft w:val="0"/>
      <w:marRight w:val="0"/>
      <w:marTop w:val="0"/>
      <w:marBottom w:val="0"/>
      <w:divBdr>
        <w:top w:val="none" w:sz="0" w:space="0" w:color="auto"/>
        <w:left w:val="none" w:sz="0" w:space="0" w:color="auto"/>
        <w:bottom w:val="none" w:sz="0" w:space="0" w:color="auto"/>
        <w:right w:val="none" w:sz="0" w:space="0" w:color="auto"/>
      </w:divBdr>
      <w:divsChild>
        <w:div w:id="1387027729">
          <w:marLeft w:val="0"/>
          <w:marRight w:val="0"/>
          <w:marTop w:val="0"/>
          <w:marBottom w:val="0"/>
          <w:divBdr>
            <w:top w:val="none" w:sz="0" w:space="0" w:color="auto"/>
            <w:left w:val="none" w:sz="0" w:space="0" w:color="auto"/>
            <w:bottom w:val="none" w:sz="0" w:space="0" w:color="auto"/>
            <w:right w:val="none" w:sz="0" w:space="0" w:color="auto"/>
          </w:divBdr>
        </w:div>
        <w:div w:id="2017531714">
          <w:marLeft w:val="0"/>
          <w:marRight w:val="0"/>
          <w:marTop w:val="0"/>
          <w:marBottom w:val="0"/>
          <w:divBdr>
            <w:top w:val="none" w:sz="0" w:space="0" w:color="auto"/>
            <w:left w:val="none" w:sz="0" w:space="0" w:color="auto"/>
            <w:bottom w:val="none" w:sz="0" w:space="0" w:color="auto"/>
            <w:right w:val="none" w:sz="0" w:space="0" w:color="auto"/>
          </w:divBdr>
        </w:div>
        <w:div w:id="1160386473">
          <w:marLeft w:val="0"/>
          <w:marRight w:val="0"/>
          <w:marTop w:val="0"/>
          <w:marBottom w:val="0"/>
          <w:divBdr>
            <w:top w:val="none" w:sz="0" w:space="0" w:color="auto"/>
            <w:left w:val="none" w:sz="0" w:space="0" w:color="auto"/>
            <w:bottom w:val="none" w:sz="0" w:space="0" w:color="auto"/>
            <w:right w:val="none" w:sz="0" w:space="0" w:color="auto"/>
          </w:divBdr>
        </w:div>
        <w:div w:id="1038047213">
          <w:marLeft w:val="0"/>
          <w:marRight w:val="0"/>
          <w:marTop w:val="0"/>
          <w:marBottom w:val="0"/>
          <w:divBdr>
            <w:top w:val="none" w:sz="0" w:space="0" w:color="auto"/>
            <w:left w:val="none" w:sz="0" w:space="0" w:color="auto"/>
            <w:bottom w:val="none" w:sz="0" w:space="0" w:color="auto"/>
            <w:right w:val="none" w:sz="0" w:space="0" w:color="auto"/>
          </w:divBdr>
        </w:div>
        <w:div w:id="1392849183">
          <w:marLeft w:val="0"/>
          <w:marRight w:val="0"/>
          <w:marTop w:val="0"/>
          <w:marBottom w:val="0"/>
          <w:divBdr>
            <w:top w:val="none" w:sz="0" w:space="0" w:color="auto"/>
            <w:left w:val="none" w:sz="0" w:space="0" w:color="auto"/>
            <w:bottom w:val="none" w:sz="0" w:space="0" w:color="auto"/>
            <w:right w:val="none" w:sz="0" w:space="0" w:color="auto"/>
          </w:divBdr>
        </w:div>
        <w:div w:id="2097088547">
          <w:marLeft w:val="0"/>
          <w:marRight w:val="0"/>
          <w:marTop w:val="0"/>
          <w:marBottom w:val="0"/>
          <w:divBdr>
            <w:top w:val="none" w:sz="0" w:space="0" w:color="auto"/>
            <w:left w:val="none" w:sz="0" w:space="0" w:color="auto"/>
            <w:bottom w:val="none" w:sz="0" w:space="0" w:color="auto"/>
            <w:right w:val="none" w:sz="0" w:space="0" w:color="auto"/>
          </w:divBdr>
        </w:div>
        <w:div w:id="740061774">
          <w:marLeft w:val="0"/>
          <w:marRight w:val="0"/>
          <w:marTop w:val="0"/>
          <w:marBottom w:val="0"/>
          <w:divBdr>
            <w:top w:val="none" w:sz="0" w:space="0" w:color="auto"/>
            <w:left w:val="none" w:sz="0" w:space="0" w:color="auto"/>
            <w:bottom w:val="none" w:sz="0" w:space="0" w:color="auto"/>
            <w:right w:val="none" w:sz="0" w:space="0" w:color="auto"/>
          </w:divBdr>
        </w:div>
        <w:div w:id="1334912553">
          <w:marLeft w:val="0"/>
          <w:marRight w:val="0"/>
          <w:marTop w:val="0"/>
          <w:marBottom w:val="0"/>
          <w:divBdr>
            <w:top w:val="none" w:sz="0" w:space="0" w:color="auto"/>
            <w:left w:val="none" w:sz="0" w:space="0" w:color="auto"/>
            <w:bottom w:val="none" w:sz="0" w:space="0" w:color="auto"/>
            <w:right w:val="none" w:sz="0" w:space="0" w:color="auto"/>
          </w:divBdr>
        </w:div>
        <w:div w:id="1330258060">
          <w:marLeft w:val="0"/>
          <w:marRight w:val="0"/>
          <w:marTop w:val="0"/>
          <w:marBottom w:val="0"/>
          <w:divBdr>
            <w:top w:val="none" w:sz="0" w:space="0" w:color="auto"/>
            <w:left w:val="none" w:sz="0" w:space="0" w:color="auto"/>
            <w:bottom w:val="none" w:sz="0" w:space="0" w:color="auto"/>
            <w:right w:val="none" w:sz="0" w:space="0" w:color="auto"/>
          </w:divBdr>
        </w:div>
        <w:div w:id="457533521">
          <w:marLeft w:val="0"/>
          <w:marRight w:val="0"/>
          <w:marTop w:val="0"/>
          <w:marBottom w:val="0"/>
          <w:divBdr>
            <w:top w:val="none" w:sz="0" w:space="0" w:color="auto"/>
            <w:left w:val="none" w:sz="0" w:space="0" w:color="auto"/>
            <w:bottom w:val="none" w:sz="0" w:space="0" w:color="auto"/>
            <w:right w:val="none" w:sz="0" w:space="0" w:color="auto"/>
          </w:divBdr>
        </w:div>
        <w:div w:id="36129958">
          <w:marLeft w:val="0"/>
          <w:marRight w:val="0"/>
          <w:marTop w:val="0"/>
          <w:marBottom w:val="0"/>
          <w:divBdr>
            <w:top w:val="none" w:sz="0" w:space="0" w:color="auto"/>
            <w:left w:val="none" w:sz="0" w:space="0" w:color="auto"/>
            <w:bottom w:val="none" w:sz="0" w:space="0" w:color="auto"/>
            <w:right w:val="none" w:sz="0" w:space="0" w:color="auto"/>
          </w:divBdr>
        </w:div>
        <w:div w:id="1137838342">
          <w:marLeft w:val="0"/>
          <w:marRight w:val="0"/>
          <w:marTop w:val="0"/>
          <w:marBottom w:val="0"/>
          <w:divBdr>
            <w:top w:val="none" w:sz="0" w:space="0" w:color="auto"/>
            <w:left w:val="none" w:sz="0" w:space="0" w:color="auto"/>
            <w:bottom w:val="none" w:sz="0" w:space="0" w:color="auto"/>
            <w:right w:val="none" w:sz="0" w:space="0" w:color="auto"/>
          </w:divBdr>
          <w:divsChild>
            <w:div w:id="633561330">
              <w:marLeft w:val="0"/>
              <w:marRight w:val="0"/>
              <w:marTop w:val="0"/>
              <w:marBottom w:val="0"/>
              <w:divBdr>
                <w:top w:val="none" w:sz="0" w:space="0" w:color="auto"/>
                <w:left w:val="none" w:sz="0" w:space="0" w:color="auto"/>
                <w:bottom w:val="none" w:sz="0" w:space="0" w:color="auto"/>
                <w:right w:val="none" w:sz="0" w:space="0" w:color="auto"/>
              </w:divBdr>
            </w:div>
            <w:div w:id="1197809948">
              <w:marLeft w:val="0"/>
              <w:marRight w:val="0"/>
              <w:marTop w:val="0"/>
              <w:marBottom w:val="0"/>
              <w:divBdr>
                <w:top w:val="none" w:sz="0" w:space="0" w:color="auto"/>
                <w:left w:val="none" w:sz="0" w:space="0" w:color="auto"/>
                <w:bottom w:val="none" w:sz="0" w:space="0" w:color="auto"/>
                <w:right w:val="none" w:sz="0" w:space="0" w:color="auto"/>
              </w:divBdr>
            </w:div>
            <w:div w:id="1208955030">
              <w:marLeft w:val="0"/>
              <w:marRight w:val="0"/>
              <w:marTop w:val="0"/>
              <w:marBottom w:val="0"/>
              <w:divBdr>
                <w:top w:val="none" w:sz="0" w:space="0" w:color="auto"/>
                <w:left w:val="none" w:sz="0" w:space="0" w:color="auto"/>
                <w:bottom w:val="none" w:sz="0" w:space="0" w:color="auto"/>
                <w:right w:val="none" w:sz="0" w:space="0" w:color="auto"/>
              </w:divBdr>
            </w:div>
            <w:div w:id="1993244057">
              <w:marLeft w:val="0"/>
              <w:marRight w:val="0"/>
              <w:marTop w:val="0"/>
              <w:marBottom w:val="0"/>
              <w:divBdr>
                <w:top w:val="none" w:sz="0" w:space="0" w:color="auto"/>
                <w:left w:val="none" w:sz="0" w:space="0" w:color="auto"/>
                <w:bottom w:val="none" w:sz="0" w:space="0" w:color="auto"/>
                <w:right w:val="none" w:sz="0" w:space="0" w:color="auto"/>
              </w:divBdr>
            </w:div>
            <w:div w:id="223295624">
              <w:marLeft w:val="0"/>
              <w:marRight w:val="0"/>
              <w:marTop w:val="0"/>
              <w:marBottom w:val="0"/>
              <w:divBdr>
                <w:top w:val="none" w:sz="0" w:space="0" w:color="auto"/>
                <w:left w:val="none" w:sz="0" w:space="0" w:color="auto"/>
                <w:bottom w:val="none" w:sz="0" w:space="0" w:color="auto"/>
                <w:right w:val="none" w:sz="0" w:space="0" w:color="auto"/>
              </w:divBdr>
            </w:div>
          </w:divsChild>
        </w:div>
        <w:div w:id="583345025">
          <w:marLeft w:val="0"/>
          <w:marRight w:val="0"/>
          <w:marTop w:val="0"/>
          <w:marBottom w:val="0"/>
          <w:divBdr>
            <w:top w:val="none" w:sz="0" w:space="0" w:color="auto"/>
            <w:left w:val="none" w:sz="0" w:space="0" w:color="auto"/>
            <w:bottom w:val="none" w:sz="0" w:space="0" w:color="auto"/>
            <w:right w:val="none" w:sz="0" w:space="0" w:color="auto"/>
          </w:divBdr>
          <w:divsChild>
            <w:div w:id="934633207">
              <w:marLeft w:val="0"/>
              <w:marRight w:val="0"/>
              <w:marTop w:val="0"/>
              <w:marBottom w:val="0"/>
              <w:divBdr>
                <w:top w:val="none" w:sz="0" w:space="0" w:color="auto"/>
                <w:left w:val="none" w:sz="0" w:space="0" w:color="auto"/>
                <w:bottom w:val="none" w:sz="0" w:space="0" w:color="auto"/>
                <w:right w:val="none" w:sz="0" w:space="0" w:color="auto"/>
              </w:divBdr>
            </w:div>
            <w:div w:id="1241865244">
              <w:marLeft w:val="0"/>
              <w:marRight w:val="0"/>
              <w:marTop w:val="0"/>
              <w:marBottom w:val="0"/>
              <w:divBdr>
                <w:top w:val="none" w:sz="0" w:space="0" w:color="auto"/>
                <w:left w:val="none" w:sz="0" w:space="0" w:color="auto"/>
                <w:bottom w:val="none" w:sz="0" w:space="0" w:color="auto"/>
                <w:right w:val="none" w:sz="0" w:space="0" w:color="auto"/>
              </w:divBdr>
            </w:div>
            <w:div w:id="1296256115">
              <w:marLeft w:val="0"/>
              <w:marRight w:val="0"/>
              <w:marTop w:val="0"/>
              <w:marBottom w:val="0"/>
              <w:divBdr>
                <w:top w:val="none" w:sz="0" w:space="0" w:color="auto"/>
                <w:left w:val="none" w:sz="0" w:space="0" w:color="auto"/>
                <w:bottom w:val="none" w:sz="0" w:space="0" w:color="auto"/>
                <w:right w:val="none" w:sz="0" w:space="0" w:color="auto"/>
              </w:divBdr>
            </w:div>
            <w:div w:id="1803962247">
              <w:marLeft w:val="0"/>
              <w:marRight w:val="0"/>
              <w:marTop w:val="0"/>
              <w:marBottom w:val="0"/>
              <w:divBdr>
                <w:top w:val="none" w:sz="0" w:space="0" w:color="auto"/>
                <w:left w:val="none" w:sz="0" w:space="0" w:color="auto"/>
                <w:bottom w:val="none" w:sz="0" w:space="0" w:color="auto"/>
                <w:right w:val="none" w:sz="0" w:space="0" w:color="auto"/>
              </w:divBdr>
            </w:div>
          </w:divsChild>
        </w:div>
        <w:div w:id="802843706">
          <w:marLeft w:val="0"/>
          <w:marRight w:val="0"/>
          <w:marTop w:val="0"/>
          <w:marBottom w:val="0"/>
          <w:divBdr>
            <w:top w:val="none" w:sz="0" w:space="0" w:color="auto"/>
            <w:left w:val="none" w:sz="0" w:space="0" w:color="auto"/>
            <w:bottom w:val="none" w:sz="0" w:space="0" w:color="auto"/>
            <w:right w:val="none" w:sz="0" w:space="0" w:color="auto"/>
          </w:divBdr>
          <w:divsChild>
            <w:div w:id="216163612">
              <w:marLeft w:val="0"/>
              <w:marRight w:val="0"/>
              <w:marTop w:val="0"/>
              <w:marBottom w:val="0"/>
              <w:divBdr>
                <w:top w:val="none" w:sz="0" w:space="0" w:color="auto"/>
                <w:left w:val="none" w:sz="0" w:space="0" w:color="auto"/>
                <w:bottom w:val="none" w:sz="0" w:space="0" w:color="auto"/>
                <w:right w:val="none" w:sz="0" w:space="0" w:color="auto"/>
              </w:divBdr>
            </w:div>
            <w:div w:id="406273096">
              <w:marLeft w:val="0"/>
              <w:marRight w:val="0"/>
              <w:marTop w:val="0"/>
              <w:marBottom w:val="0"/>
              <w:divBdr>
                <w:top w:val="none" w:sz="0" w:space="0" w:color="auto"/>
                <w:left w:val="none" w:sz="0" w:space="0" w:color="auto"/>
                <w:bottom w:val="none" w:sz="0" w:space="0" w:color="auto"/>
                <w:right w:val="none" w:sz="0" w:space="0" w:color="auto"/>
              </w:divBdr>
            </w:div>
            <w:div w:id="1079208788">
              <w:marLeft w:val="0"/>
              <w:marRight w:val="0"/>
              <w:marTop w:val="0"/>
              <w:marBottom w:val="0"/>
              <w:divBdr>
                <w:top w:val="none" w:sz="0" w:space="0" w:color="auto"/>
                <w:left w:val="none" w:sz="0" w:space="0" w:color="auto"/>
                <w:bottom w:val="none" w:sz="0" w:space="0" w:color="auto"/>
                <w:right w:val="none" w:sz="0" w:space="0" w:color="auto"/>
              </w:divBdr>
            </w:div>
          </w:divsChild>
        </w:div>
        <w:div w:id="305285997">
          <w:marLeft w:val="0"/>
          <w:marRight w:val="0"/>
          <w:marTop w:val="0"/>
          <w:marBottom w:val="0"/>
          <w:divBdr>
            <w:top w:val="none" w:sz="0" w:space="0" w:color="auto"/>
            <w:left w:val="none" w:sz="0" w:space="0" w:color="auto"/>
            <w:bottom w:val="none" w:sz="0" w:space="0" w:color="auto"/>
            <w:right w:val="none" w:sz="0" w:space="0" w:color="auto"/>
          </w:divBdr>
        </w:div>
        <w:div w:id="226380295">
          <w:marLeft w:val="0"/>
          <w:marRight w:val="0"/>
          <w:marTop w:val="0"/>
          <w:marBottom w:val="0"/>
          <w:divBdr>
            <w:top w:val="none" w:sz="0" w:space="0" w:color="auto"/>
            <w:left w:val="none" w:sz="0" w:space="0" w:color="auto"/>
            <w:bottom w:val="none" w:sz="0" w:space="0" w:color="auto"/>
            <w:right w:val="none" w:sz="0" w:space="0" w:color="auto"/>
          </w:divBdr>
          <w:divsChild>
            <w:div w:id="1177384336">
              <w:marLeft w:val="0"/>
              <w:marRight w:val="0"/>
              <w:marTop w:val="0"/>
              <w:marBottom w:val="0"/>
              <w:divBdr>
                <w:top w:val="none" w:sz="0" w:space="0" w:color="auto"/>
                <w:left w:val="none" w:sz="0" w:space="0" w:color="auto"/>
                <w:bottom w:val="none" w:sz="0" w:space="0" w:color="auto"/>
                <w:right w:val="none" w:sz="0" w:space="0" w:color="auto"/>
              </w:divBdr>
            </w:div>
            <w:div w:id="1033963804">
              <w:marLeft w:val="0"/>
              <w:marRight w:val="0"/>
              <w:marTop w:val="0"/>
              <w:marBottom w:val="0"/>
              <w:divBdr>
                <w:top w:val="none" w:sz="0" w:space="0" w:color="auto"/>
                <w:left w:val="none" w:sz="0" w:space="0" w:color="auto"/>
                <w:bottom w:val="none" w:sz="0" w:space="0" w:color="auto"/>
                <w:right w:val="none" w:sz="0" w:space="0" w:color="auto"/>
              </w:divBdr>
            </w:div>
            <w:div w:id="217207115">
              <w:marLeft w:val="0"/>
              <w:marRight w:val="0"/>
              <w:marTop w:val="0"/>
              <w:marBottom w:val="0"/>
              <w:divBdr>
                <w:top w:val="none" w:sz="0" w:space="0" w:color="auto"/>
                <w:left w:val="none" w:sz="0" w:space="0" w:color="auto"/>
                <w:bottom w:val="none" w:sz="0" w:space="0" w:color="auto"/>
                <w:right w:val="none" w:sz="0" w:space="0" w:color="auto"/>
              </w:divBdr>
            </w:div>
            <w:div w:id="1518423259">
              <w:marLeft w:val="0"/>
              <w:marRight w:val="0"/>
              <w:marTop w:val="0"/>
              <w:marBottom w:val="0"/>
              <w:divBdr>
                <w:top w:val="none" w:sz="0" w:space="0" w:color="auto"/>
                <w:left w:val="none" w:sz="0" w:space="0" w:color="auto"/>
                <w:bottom w:val="none" w:sz="0" w:space="0" w:color="auto"/>
                <w:right w:val="none" w:sz="0" w:space="0" w:color="auto"/>
              </w:divBdr>
            </w:div>
          </w:divsChild>
        </w:div>
        <w:div w:id="54595165">
          <w:marLeft w:val="0"/>
          <w:marRight w:val="0"/>
          <w:marTop w:val="0"/>
          <w:marBottom w:val="0"/>
          <w:divBdr>
            <w:top w:val="none" w:sz="0" w:space="0" w:color="auto"/>
            <w:left w:val="none" w:sz="0" w:space="0" w:color="auto"/>
            <w:bottom w:val="none" w:sz="0" w:space="0" w:color="auto"/>
            <w:right w:val="none" w:sz="0" w:space="0" w:color="auto"/>
          </w:divBdr>
        </w:div>
        <w:div w:id="213781306">
          <w:marLeft w:val="0"/>
          <w:marRight w:val="0"/>
          <w:marTop w:val="0"/>
          <w:marBottom w:val="0"/>
          <w:divBdr>
            <w:top w:val="none" w:sz="0" w:space="0" w:color="auto"/>
            <w:left w:val="none" w:sz="0" w:space="0" w:color="auto"/>
            <w:bottom w:val="none" w:sz="0" w:space="0" w:color="auto"/>
            <w:right w:val="none" w:sz="0" w:space="0" w:color="auto"/>
          </w:divBdr>
          <w:divsChild>
            <w:div w:id="1860699275">
              <w:marLeft w:val="0"/>
              <w:marRight w:val="0"/>
              <w:marTop w:val="0"/>
              <w:marBottom w:val="0"/>
              <w:divBdr>
                <w:top w:val="none" w:sz="0" w:space="0" w:color="auto"/>
                <w:left w:val="none" w:sz="0" w:space="0" w:color="auto"/>
                <w:bottom w:val="none" w:sz="0" w:space="0" w:color="auto"/>
                <w:right w:val="none" w:sz="0" w:space="0" w:color="auto"/>
              </w:divBdr>
            </w:div>
            <w:div w:id="1442872883">
              <w:marLeft w:val="0"/>
              <w:marRight w:val="0"/>
              <w:marTop w:val="0"/>
              <w:marBottom w:val="0"/>
              <w:divBdr>
                <w:top w:val="none" w:sz="0" w:space="0" w:color="auto"/>
                <w:left w:val="none" w:sz="0" w:space="0" w:color="auto"/>
                <w:bottom w:val="none" w:sz="0" w:space="0" w:color="auto"/>
                <w:right w:val="none" w:sz="0" w:space="0" w:color="auto"/>
              </w:divBdr>
            </w:div>
            <w:div w:id="539708508">
              <w:marLeft w:val="0"/>
              <w:marRight w:val="0"/>
              <w:marTop w:val="0"/>
              <w:marBottom w:val="0"/>
              <w:divBdr>
                <w:top w:val="none" w:sz="0" w:space="0" w:color="auto"/>
                <w:left w:val="none" w:sz="0" w:space="0" w:color="auto"/>
                <w:bottom w:val="none" w:sz="0" w:space="0" w:color="auto"/>
                <w:right w:val="none" w:sz="0" w:space="0" w:color="auto"/>
              </w:divBdr>
            </w:div>
            <w:div w:id="64184706">
              <w:marLeft w:val="0"/>
              <w:marRight w:val="0"/>
              <w:marTop w:val="0"/>
              <w:marBottom w:val="0"/>
              <w:divBdr>
                <w:top w:val="none" w:sz="0" w:space="0" w:color="auto"/>
                <w:left w:val="none" w:sz="0" w:space="0" w:color="auto"/>
                <w:bottom w:val="none" w:sz="0" w:space="0" w:color="auto"/>
                <w:right w:val="none" w:sz="0" w:space="0" w:color="auto"/>
              </w:divBdr>
            </w:div>
            <w:div w:id="1286346637">
              <w:marLeft w:val="0"/>
              <w:marRight w:val="0"/>
              <w:marTop w:val="0"/>
              <w:marBottom w:val="0"/>
              <w:divBdr>
                <w:top w:val="none" w:sz="0" w:space="0" w:color="auto"/>
                <w:left w:val="none" w:sz="0" w:space="0" w:color="auto"/>
                <w:bottom w:val="none" w:sz="0" w:space="0" w:color="auto"/>
                <w:right w:val="none" w:sz="0" w:space="0" w:color="auto"/>
              </w:divBdr>
            </w:div>
          </w:divsChild>
        </w:div>
        <w:div w:id="318778510">
          <w:marLeft w:val="0"/>
          <w:marRight w:val="0"/>
          <w:marTop w:val="0"/>
          <w:marBottom w:val="0"/>
          <w:divBdr>
            <w:top w:val="none" w:sz="0" w:space="0" w:color="auto"/>
            <w:left w:val="none" w:sz="0" w:space="0" w:color="auto"/>
            <w:bottom w:val="none" w:sz="0" w:space="0" w:color="auto"/>
            <w:right w:val="none" w:sz="0" w:space="0" w:color="auto"/>
          </w:divBdr>
          <w:divsChild>
            <w:div w:id="1292243595">
              <w:marLeft w:val="0"/>
              <w:marRight w:val="0"/>
              <w:marTop w:val="0"/>
              <w:marBottom w:val="0"/>
              <w:divBdr>
                <w:top w:val="none" w:sz="0" w:space="0" w:color="auto"/>
                <w:left w:val="none" w:sz="0" w:space="0" w:color="auto"/>
                <w:bottom w:val="none" w:sz="0" w:space="0" w:color="auto"/>
                <w:right w:val="none" w:sz="0" w:space="0" w:color="auto"/>
              </w:divBdr>
            </w:div>
            <w:div w:id="2093425768">
              <w:marLeft w:val="0"/>
              <w:marRight w:val="0"/>
              <w:marTop w:val="0"/>
              <w:marBottom w:val="0"/>
              <w:divBdr>
                <w:top w:val="none" w:sz="0" w:space="0" w:color="auto"/>
                <w:left w:val="none" w:sz="0" w:space="0" w:color="auto"/>
                <w:bottom w:val="none" w:sz="0" w:space="0" w:color="auto"/>
                <w:right w:val="none" w:sz="0" w:space="0" w:color="auto"/>
              </w:divBdr>
            </w:div>
            <w:div w:id="1252813069">
              <w:marLeft w:val="0"/>
              <w:marRight w:val="0"/>
              <w:marTop w:val="0"/>
              <w:marBottom w:val="0"/>
              <w:divBdr>
                <w:top w:val="none" w:sz="0" w:space="0" w:color="auto"/>
                <w:left w:val="none" w:sz="0" w:space="0" w:color="auto"/>
                <w:bottom w:val="none" w:sz="0" w:space="0" w:color="auto"/>
                <w:right w:val="none" w:sz="0" w:space="0" w:color="auto"/>
              </w:divBdr>
            </w:div>
            <w:div w:id="891697871">
              <w:marLeft w:val="0"/>
              <w:marRight w:val="0"/>
              <w:marTop w:val="0"/>
              <w:marBottom w:val="0"/>
              <w:divBdr>
                <w:top w:val="none" w:sz="0" w:space="0" w:color="auto"/>
                <w:left w:val="none" w:sz="0" w:space="0" w:color="auto"/>
                <w:bottom w:val="none" w:sz="0" w:space="0" w:color="auto"/>
                <w:right w:val="none" w:sz="0" w:space="0" w:color="auto"/>
              </w:divBdr>
            </w:div>
            <w:div w:id="1123113037">
              <w:marLeft w:val="0"/>
              <w:marRight w:val="0"/>
              <w:marTop w:val="0"/>
              <w:marBottom w:val="0"/>
              <w:divBdr>
                <w:top w:val="none" w:sz="0" w:space="0" w:color="auto"/>
                <w:left w:val="none" w:sz="0" w:space="0" w:color="auto"/>
                <w:bottom w:val="none" w:sz="0" w:space="0" w:color="auto"/>
                <w:right w:val="none" w:sz="0" w:space="0" w:color="auto"/>
              </w:divBdr>
            </w:div>
          </w:divsChild>
        </w:div>
        <w:div w:id="1835219363">
          <w:marLeft w:val="0"/>
          <w:marRight w:val="0"/>
          <w:marTop w:val="0"/>
          <w:marBottom w:val="0"/>
          <w:divBdr>
            <w:top w:val="none" w:sz="0" w:space="0" w:color="auto"/>
            <w:left w:val="none" w:sz="0" w:space="0" w:color="auto"/>
            <w:bottom w:val="none" w:sz="0" w:space="0" w:color="auto"/>
            <w:right w:val="none" w:sz="0" w:space="0" w:color="auto"/>
          </w:divBdr>
          <w:divsChild>
            <w:div w:id="1172404418">
              <w:marLeft w:val="0"/>
              <w:marRight w:val="0"/>
              <w:marTop w:val="0"/>
              <w:marBottom w:val="0"/>
              <w:divBdr>
                <w:top w:val="none" w:sz="0" w:space="0" w:color="auto"/>
                <w:left w:val="none" w:sz="0" w:space="0" w:color="auto"/>
                <w:bottom w:val="none" w:sz="0" w:space="0" w:color="auto"/>
                <w:right w:val="none" w:sz="0" w:space="0" w:color="auto"/>
              </w:divBdr>
            </w:div>
            <w:div w:id="1506021342">
              <w:marLeft w:val="0"/>
              <w:marRight w:val="0"/>
              <w:marTop w:val="0"/>
              <w:marBottom w:val="0"/>
              <w:divBdr>
                <w:top w:val="none" w:sz="0" w:space="0" w:color="auto"/>
                <w:left w:val="none" w:sz="0" w:space="0" w:color="auto"/>
                <w:bottom w:val="none" w:sz="0" w:space="0" w:color="auto"/>
                <w:right w:val="none" w:sz="0" w:space="0" w:color="auto"/>
              </w:divBdr>
            </w:div>
            <w:div w:id="1113524124">
              <w:marLeft w:val="0"/>
              <w:marRight w:val="0"/>
              <w:marTop w:val="0"/>
              <w:marBottom w:val="0"/>
              <w:divBdr>
                <w:top w:val="none" w:sz="0" w:space="0" w:color="auto"/>
                <w:left w:val="none" w:sz="0" w:space="0" w:color="auto"/>
                <w:bottom w:val="none" w:sz="0" w:space="0" w:color="auto"/>
                <w:right w:val="none" w:sz="0" w:space="0" w:color="auto"/>
              </w:divBdr>
            </w:div>
            <w:div w:id="1756128938">
              <w:marLeft w:val="0"/>
              <w:marRight w:val="0"/>
              <w:marTop w:val="0"/>
              <w:marBottom w:val="0"/>
              <w:divBdr>
                <w:top w:val="none" w:sz="0" w:space="0" w:color="auto"/>
                <w:left w:val="none" w:sz="0" w:space="0" w:color="auto"/>
                <w:bottom w:val="none" w:sz="0" w:space="0" w:color="auto"/>
                <w:right w:val="none" w:sz="0" w:space="0" w:color="auto"/>
              </w:divBdr>
            </w:div>
            <w:div w:id="628780288">
              <w:marLeft w:val="0"/>
              <w:marRight w:val="0"/>
              <w:marTop w:val="0"/>
              <w:marBottom w:val="0"/>
              <w:divBdr>
                <w:top w:val="none" w:sz="0" w:space="0" w:color="auto"/>
                <w:left w:val="none" w:sz="0" w:space="0" w:color="auto"/>
                <w:bottom w:val="none" w:sz="0" w:space="0" w:color="auto"/>
                <w:right w:val="none" w:sz="0" w:space="0" w:color="auto"/>
              </w:divBdr>
            </w:div>
            <w:div w:id="1211039807">
              <w:marLeft w:val="0"/>
              <w:marRight w:val="0"/>
              <w:marTop w:val="0"/>
              <w:marBottom w:val="0"/>
              <w:divBdr>
                <w:top w:val="none" w:sz="0" w:space="0" w:color="auto"/>
                <w:left w:val="none" w:sz="0" w:space="0" w:color="auto"/>
                <w:bottom w:val="none" w:sz="0" w:space="0" w:color="auto"/>
                <w:right w:val="none" w:sz="0" w:space="0" w:color="auto"/>
              </w:divBdr>
            </w:div>
          </w:divsChild>
        </w:div>
        <w:div w:id="384259143">
          <w:marLeft w:val="0"/>
          <w:marRight w:val="0"/>
          <w:marTop w:val="0"/>
          <w:marBottom w:val="0"/>
          <w:divBdr>
            <w:top w:val="none" w:sz="0" w:space="0" w:color="auto"/>
            <w:left w:val="none" w:sz="0" w:space="0" w:color="auto"/>
            <w:bottom w:val="none" w:sz="0" w:space="0" w:color="auto"/>
            <w:right w:val="none" w:sz="0" w:space="0" w:color="auto"/>
          </w:divBdr>
          <w:divsChild>
            <w:div w:id="1161196696">
              <w:marLeft w:val="0"/>
              <w:marRight w:val="0"/>
              <w:marTop w:val="0"/>
              <w:marBottom w:val="0"/>
              <w:divBdr>
                <w:top w:val="none" w:sz="0" w:space="0" w:color="auto"/>
                <w:left w:val="none" w:sz="0" w:space="0" w:color="auto"/>
                <w:bottom w:val="none" w:sz="0" w:space="0" w:color="auto"/>
                <w:right w:val="none" w:sz="0" w:space="0" w:color="auto"/>
              </w:divBdr>
            </w:div>
            <w:div w:id="68502239">
              <w:marLeft w:val="0"/>
              <w:marRight w:val="0"/>
              <w:marTop w:val="0"/>
              <w:marBottom w:val="0"/>
              <w:divBdr>
                <w:top w:val="none" w:sz="0" w:space="0" w:color="auto"/>
                <w:left w:val="none" w:sz="0" w:space="0" w:color="auto"/>
                <w:bottom w:val="none" w:sz="0" w:space="0" w:color="auto"/>
                <w:right w:val="none" w:sz="0" w:space="0" w:color="auto"/>
              </w:divBdr>
            </w:div>
            <w:div w:id="2088458293">
              <w:marLeft w:val="0"/>
              <w:marRight w:val="0"/>
              <w:marTop w:val="0"/>
              <w:marBottom w:val="0"/>
              <w:divBdr>
                <w:top w:val="none" w:sz="0" w:space="0" w:color="auto"/>
                <w:left w:val="none" w:sz="0" w:space="0" w:color="auto"/>
                <w:bottom w:val="none" w:sz="0" w:space="0" w:color="auto"/>
                <w:right w:val="none" w:sz="0" w:space="0" w:color="auto"/>
              </w:divBdr>
            </w:div>
          </w:divsChild>
        </w:div>
        <w:div w:id="152336902">
          <w:marLeft w:val="0"/>
          <w:marRight w:val="0"/>
          <w:marTop w:val="0"/>
          <w:marBottom w:val="0"/>
          <w:divBdr>
            <w:top w:val="none" w:sz="0" w:space="0" w:color="auto"/>
            <w:left w:val="none" w:sz="0" w:space="0" w:color="auto"/>
            <w:bottom w:val="none" w:sz="0" w:space="0" w:color="auto"/>
            <w:right w:val="none" w:sz="0" w:space="0" w:color="auto"/>
          </w:divBdr>
          <w:divsChild>
            <w:div w:id="1495024273">
              <w:marLeft w:val="0"/>
              <w:marRight w:val="0"/>
              <w:marTop w:val="0"/>
              <w:marBottom w:val="0"/>
              <w:divBdr>
                <w:top w:val="none" w:sz="0" w:space="0" w:color="auto"/>
                <w:left w:val="none" w:sz="0" w:space="0" w:color="auto"/>
                <w:bottom w:val="none" w:sz="0" w:space="0" w:color="auto"/>
                <w:right w:val="none" w:sz="0" w:space="0" w:color="auto"/>
              </w:divBdr>
            </w:div>
            <w:div w:id="1649245883">
              <w:marLeft w:val="0"/>
              <w:marRight w:val="0"/>
              <w:marTop w:val="0"/>
              <w:marBottom w:val="0"/>
              <w:divBdr>
                <w:top w:val="none" w:sz="0" w:space="0" w:color="auto"/>
                <w:left w:val="none" w:sz="0" w:space="0" w:color="auto"/>
                <w:bottom w:val="none" w:sz="0" w:space="0" w:color="auto"/>
                <w:right w:val="none" w:sz="0" w:space="0" w:color="auto"/>
              </w:divBdr>
            </w:div>
          </w:divsChild>
        </w:div>
        <w:div w:id="1806511118">
          <w:marLeft w:val="0"/>
          <w:marRight w:val="0"/>
          <w:marTop w:val="0"/>
          <w:marBottom w:val="0"/>
          <w:divBdr>
            <w:top w:val="none" w:sz="0" w:space="0" w:color="auto"/>
            <w:left w:val="none" w:sz="0" w:space="0" w:color="auto"/>
            <w:bottom w:val="none" w:sz="0" w:space="0" w:color="auto"/>
            <w:right w:val="none" w:sz="0" w:space="0" w:color="auto"/>
          </w:divBdr>
        </w:div>
        <w:div w:id="421799247">
          <w:marLeft w:val="0"/>
          <w:marRight w:val="0"/>
          <w:marTop w:val="0"/>
          <w:marBottom w:val="0"/>
          <w:divBdr>
            <w:top w:val="none" w:sz="0" w:space="0" w:color="auto"/>
            <w:left w:val="none" w:sz="0" w:space="0" w:color="auto"/>
            <w:bottom w:val="none" w:sz="0" w:space="0" w:color="auto"/>
            <w:right w:val="none" w:sz="0" w:space="0" w:color="auto"/>
          </w:divBdr>
        </w:div>
        <w:div w:id="1540437156">
          <w:marLeft w:val="0"/>
          <w:marRight w:val="0"/>
          <w:marTop w:val="0"/>
          <w:marBottom w:val="0"/>
          <w:divBdr>
            <w:top w:val="none" w:sz="0" w:space="0" w:color="auto"/>
            <w:left w:val="none" w:sz="0" w:space="0" w:color="auto"/>
            <w:bottom w:val="none" w:sz="0" w:space="0" w:color="auto"/>
            <w:right w:val="none" w:sz="0" w:space="0" w:color="auto"/>
          </w:divBdr>
        </w:div>
        <w:div w:id="2109350537">
          <w:marLeft w:val="0"/>
          <w:marRight w:val="0"/>
          <w:marTop w:val="0"/>
          <w:marBottom w:val="0"/>
          <w:divBdr>
            <w:top w:val="none" w:sz="0" w:space="0" w:color="auto"/>
            <w:left w:val="none" w:sz="0" w:space="0" w:color="auto"/>
            <w:bottom w:val="none" w:sz="0" w:space="0" w:color="auto"/>
            <w:right w:val="none" w:sz="0" w:space="0" w:color="auto"/>
          </w:divBdr>
        </w:div>
        <w:div w:id="207242">
          <w:marLeft w:val="0"/>
          <w:marRight w:val="0"/>
          <w:marTop w:val="0"/>
          <w:marBottom w:val="0"/>
          <w:divBdr>
            <w:top w:val="none" w:sz="0" w:space="0" w:color="auto"/>
            <w:left w:val="none" w:sz="0" w:space="0" w:color="auto"/>
            <w:bottom w:val="none" w:sz="0" w:space="0" w:color="auto"/>
            <w:right w:val="none" w:sz="0" w:space="0" w:color="auto"/>
          </w:divBdr>
        </w:div>
        <w:div w:id="930547128">
          <w:marLeft w:val="0"/>
          <w:marRight w:val="0"/>
          <w:marTop w:val="0"/>
          <w:marBottom w:val="0"/>
          <w:divBdr>
            <w:top w:val="none" w:sz="0" w:space="0" w:color="auto"/>
            <w:left w:val="none" w:sz="0" w:space="0" w:color="auto"/>
            <w:bottom w:val="none" w:sz="0" w:space="0" w:color="auto"/>
            <w:right w:val="none" w:sz="0" w:space="0" w:color="auto"/>
          </w:divBdr>
        </w:div>
        <w:div w:id="663241741">
          <w:marLeft w:val="0"/>
          <w:marRight w:val="0"/>
          <w:marTop w:val="0"/>
          <w:marBottom w:val="0"/>
          <w:divBdr>
            <w:top w:val="none" w:sz="0" w:space="0" w:color="auto"/>
            <w:left w:val="none" w:sz="0" w:space="0" w:color="auto"/>
            <w:bottom w:val="none" w:sz="0" w:space="0" w:color="auto"/>
            <w:right w:val="none" w:sz="0" w:space="0" w:color="auto"/>
          </w:divBdr>
        </w:div>
        <w:div w:id="836312705">
          <w:marLeft w:val="0"/>
          <w:marRight w:val="0"/>
          <w:marTop w:val="0"/>
          <w:marBottom w:val="0"/>
          <w:divBdr>
            <w:top w:val="none" w:sz="0" w:space="0" w:color="auto"/>
            <w:left w:val="none" w:sz="0" w:space="0" w:color="auto"/>
            <w:bottom w:val="none" w:sz="0" w:space="0" w:color="auto"/>
            <w:right w:val="none" w:sz="0" w:space="0" w:color="auto"/>
          </w:divBdr>
        </w:div>
      </w:divsChild>
    </w:div>
    <w:div w:id="1630167481">
      <w:bodyDiv w:val="1"/>
      <w:marLeft w:val="0"/>
      <w:marRight w:val="0"/>
      <w:marTop w:val="0"/>
      <w:marBottom w:val="0"/>
      <w:divBdr>
        <w:top w:val="none" w:sz="0" w:space="0" w:color="auto"/>
        <w:left w:val="none" w:sz="0" w:space="0" w:color="auto"/>
        <w:bottom w:val="none" w:sz="0" w:space="0" w:color="auto"/>
        <w:right w:val="none" w:sz="0" w:space="0" w:color="auto"/>
      </w:divBdr>
      <w:divsChild>
        <w:div w:id="19205186">
          <w:marLeft w:val="0"/>
          <w:marRight w:val="0"/>
          <w:marTop w:val="0"/>
          <w:marBottom w:val="0"/>
          <w:divBdr>
            <w:top w:val="none" w:sz="0" w:space="0" w:color="auto"/>
            <w:left w:val="none" w:sz="0" w:space="0" w:color="auto"/>
            <w:bottom w:val="none" w:sz="0" w:space="0" w:color="auto"/>
            <w:right w:val="none" w:sz="0" w:space="0" w:color="auto"/>
          </w:divBdr>
        </w:div>
        <w:div w:id="1318878805">
          <w:marLeft w:val="0"/>
          <w:marRight w:val="0"/>
          <w:marTop w:val="0"/>
          <w:marBottom w:val="0"/>
          <w:divBdr>
            <w:top w:val="none" w:sz="0" w:space="0" w:color="auto"/>
            <w:left w:val="none" w:sz="0" w:space="0" w:color="auto"/>
            <w:bottom w:val="none" w:sz="0" w:space="0" w:color="auto"/>
            <w:right w:val="none" w:sz="0" w:space="0" w:color="auto"/>
          </w:divBdr>
        </w:div>
        <w:div w:id="341780574">
          <w:marLeft w:val="0"/>
          <w:marRight w:val="0"/>
          <w:marTop w:val="0"/>
          <w:marBottom w:val="0"/>
          <w:divBdr>
            <w:top w:val="none" w:sz="0" w:space="0" w:color="auto"/>
            <w:left w:val="none" w:sz="0" w:space="0" w:color="auto"/>
            <w:bottom w:val="none" w:sz="0" w:space="0" w:color="auto"/>
            <w:right w:val="none" w:sz="0" w:space="0" w:color="auto"/>
          </w:divBdr>
        </w:div>
        <w:div w:id="725026945">
          <w:marLeft w:val="0"/>
          <w:marRight w:val="0"/>
          <w:marTop w:val="0"/>
          <w:marBottom w:val="0"/>
          <w:divBdr>
            <w:top w:val="none" w:sz="0" w:space="0" w:color="auto"/>
            <w:left w:val="none" w:sz="0" w:space="0" w:color="auto"/>
            <w:bottom w:val="none" w:sz="0" w:space="0" w:color="auto"/>
            <w:right w:val="none" w:sz="0" w:space="0" w:color="auto"/>
          </w:divBdr>
        </w:div>
        <w:div w:id="1191794262">
          <w:marLeft w:val="0"/>
          <w:marRight w:val="0"/>
          <w:marTop w:val="0"/>
          <w:marBottom w:val="0"/>
          <w:divBdr>
            <w:top w:val="none" w:sz="0" w:space="0" w:color="auto"/>
            <w:left w:val="none" w:sz="0" w:space="0" w:color="auto"/>
            <w:bottom w:val="none" w:sz="0" w:space="0" w:color="auto"/>
            <w:right w:val="none" w:sz="0" w:space="0" w:color="auto"/>
          </w:divBdr>
        </w:div>
        <w:div w:id="997458606">
          <w:marLeft w:val="0"/>
          <w:marRight w:val="0"/>
          <w:marTop w:val="0"/>
          <w:marBottom w:val="0"/>
          <w:divBdr>
            <w:top w:val="none" w:sz="0" w:space="0" w:color="auto"/>
            <w:left w:val="none" w:sz="0" w:space="0" w:color="auto"/>
            <w:bottom w:val="none" w:sz="0" w:space="0" w:color="auto"/>
            <w:right w:val="none" w:sz="0" w:space="0" w:color="auto"/>
          </w:divBdr>
        </w:div>
      </w:divsChild>
    </w:div>
    <w:div w:id="1646932983">
      <w:bodyDiv w:val="1"/>
      <w:marLeft w:val="0"/>
      <w:marRight w:val="0"/>
      <w:marTop w:val="0"/>
      <w:marBottom w:val="0"/>
      <w:divBdr>
        <w:top w:val="none" w:sz="0" w:space="0" w:color="auto"/>
        <w:left w:val="none" w:sz="0" w:space="0" w:color="auto"/>
        <w:bottom w:val="none" w:sz="0" w:space="0" w:color="auto"/>
        <w:right w:val="none" w:sz="0" w:space="0" w:color="auto"/>
      </w:divBdr>
    </w:div>
    <w:div w:id="1762682132">
      <w:bodyDiv w:val="1"/>
      <w:marLeft w:val="0"/>
      <w:marRight w:val="0"/>
      <w:marTop w:val="0"/>
      <w:marBottom w:val="0"/>
      <w:divBdr>
        <w:top w:val="none" w:sz="0" w:space="0" w:color="auto"/>
        <w:left w:val="none" w:sz="0" w:space="0" w:color="auto"/>
        <w:bottom w:val="none" w:sz="0" w:space="0" w:color="auto"/>
        <w:right w:val="none" w:sz="0" w:space="0" w:color="auto"/>
      </w:divBdr>
      <w:divsChild>
        <w:div w:id="643126305">
          <w:marLeft w:val="0"/>
          <w:marRight w:val="0"/>
          <w:marTop w:val="0"/>
          <w:marBottom w:val="0"/>
          <w:divBdr>
            <w:top w:val="none" w:sz="0" w:space="0" w:color="auto"/>
            <w:left w:val="none" w:sz="0" w:space="0" w:color="auto"/>
            <w:bottom w:val="none" w:sz="0" w:space="0" w:color="auto"/>
            <w:right w:val="none" w:sz="0" w:space="0" w:color="auto"/>
          </w:divBdr>
        </w:div>
        <w:div w:id="545265514">
          <w:marLeft w:val="0"/>
          <w:marRight w:val="0"/>
          <w:marTop w:val="0"/>
          <w:marBottom w:val="0"/>
          <w:divBdr>
            <w:top w:val="none" w:sz="0" w:space="0" w:color="auto"/>
            <w:left w:val="none" w:sz="0" w:space="0" w:color="auto"/>
            <w:bottom w:val="none" w:sz="0" w:space="0" w:color="auto"/>
            <w:right w:val="none" w:sz="0" w:space="0" w:color="auto"/>
          </w:divBdr>
        </w:div>
        <w:div w:id="1363439269">
          <w:marLeft w:val="0"/>
          <w:marRight w:val="0"/>
          <w:marTop w:val="0"/>
          <w:marBottom w:val="0"/>
          <w:divBdr>
            <w:top w:val="none" w:sz="0" w:space="0" w:color="auto"/>
            <w:left w:val="none" w:sz="0" w:space="0" w:color="auto"/>
            <w:bottom w:val="none" w:sz="0" w:space="0" w:color="auto"/>
            <w:right w:val="none" w:sz="0" w:space="0" w:color="auto"/>
          </w:divBdr>
        </w:div>
        <w:div w:id="1336373106">
          <w:marLeft w:val="0"/>
          <w:marRight w:val="0"/>
          <w:marTop w:val="0"/>
          <w:marBottom w:val="0"/>
          <w:divBdr>
            <w:top w:val="none" w:sz="0" w:space="0" w:color="auto"/>
            <w:left w:val="none" w:sz="0" w:space="0" w:color="auto"/>
            <w:bottom w:val="none" w:sz="0" w:space="0" w:color="auto"/>
            <w:right w:val="none" w:sz="0" w:space="0" w:color="auto"/>
          </w:divBdr>
        </w:div>
        <w:div w:id="410935603">
          <w:marLeft w:val="0"/>
          <w:marRight w:val="0"/>
          <w:marTop w:val="0"/>
          <w:marBottom w:val="0"/>
          <w:divBdr>
            <w:top w:val="none" w:sz="0" w:space="0" w:color="auto"/>
            <w:left w:val="none" w:sz="0" w:space="0" w:color="auto"/>
            <w:bottom w:val="none" w:sz="0" w:space="0" w:color="auto"/>
            <w:right w:val="none" w:sz="0" w:space="0" w:color="auto"/>
          </w:divBdr>
        </w:div>
        <w:div w:id="1887371912">
          <w:marLeft w:val="0"/>
          <w:marRight w:val="0"/>
          <w:marTop w:val="0"/>
          <w:marBottom w:val="0"/>
          <w:divBdr>
            <w:top w:val="none" w:sz="0" w:space="0" w:color="auto"/>
            <w:left w:val="none" w:sz="0" w:space="0" w:color="auto"/>
            <w:bottom w:val="none" w:sz="0" w:space="0" w:color="auto"/>
            <w:right w:val="none" w:sz="0" w:space="0" w:color="auto"/>
          </w:divBdr>
        </w:div>
        <w:div w:id="550114449">
          <w:marLeft w:val="0"/>
          <w:marRight w:val="0"/>
          <w:marTop w:val="0"/>
          <w:marBottom w:val="0"/>
          <w:divBdr>
            <w:top w:val="none" w:sz="0" w:space="0" w:color="auto"/>
            <w:left w:val="none" w:sz="0" w:space="0" w:color="auto"/>
            <w:bottom w:val="none" w:sz="0" w:space="0" w:color="auto"/>
            <w:right w:val="none" w:sz="0" w:space="0" w:color="auto"/>
          </w:divBdr>
        </w:div>
        <w:div w:id="2130583884">
          <w:marLeft w:val="0"/>
          <w:marRight w:val="0"/>
          <w:marTop w:val="0"/>
          <w:marBottom w:val="0"/>
          <w:divBdr>
            <w:top w:val="none" w:sz="0" w:space="0" w:color="auto"/>
            <w:left w:val="none" w:sz="0" w:space="0" w:color="auto"/>
            <w:bottom w:val="none" w:sz="0" w:space="0" w:color="auto"/>
            <w:right w:val="none" w:sz="0" w:space="0" w:color="auto"/>
          </w:divBdr>
        </w:div>
        <w:div w:id="2101293582">
          <w:marLeft w:val="0"/>
          <w:marRight w:val="0"/>
          <w:marTop w:val="0"/>
          <w:marBottom w:val="0"/>
          <w:divBdr>
            <w:top w:val="none" w:sz="0" w:space="0" w:color="auto"/>
            <w:left w:val="none" w:sz="0" w:space="0" w:color="auto"/>
            <w:bottom w:val="none" w:sz="0" w:space="0" w:color="auto"/>
            <w:right w:val="none" w:sz="0" w:space="0" w:color="auto"/>
          </w:divBdr>
        </w:div>
        <w:div w:id="1327711729">
          <w:marLeft w:val="0"/>
          <w:marRight w:val="0"/>
          <w:marTop w:val="0"/>
          <w:marBottom w:val="0"/>
          <w:divBdr>
            <w:top w:val="none" w:sz="0" w:space="0" w:color="auto"/>
            <w:left w:val="none" w:sz="0" w:space="0" w:color="auto"/>
            <w:bottom w:val="none" w:sz="0" w:space="0" w:color="auto"/>
            <w:right w:val="none" w:sz="0" w:space="0" w:color="auto"/>
          </w:divBdr>
        </w:div>
        <w:div w:id="1146316979">
          <w:marLeft w:val="0"/>
          <w:marRight w:val="0"/>
          <w:marTop w:val="0"/>
          <w:marBottom w:val="0"/>
          <w:divBdr>
            <w:top w:val="none" w:sz="0" w:space="0" w:color="auto"/>
            <w:left w:val="none" w:sz="0" w:space="0" w:color="auto"/>
            <w:bottom w:val="none" w:sz="0" w:space="0" w:color="auto"/>
            <w:right w:val="none" w:sz="0" w:space="0" w:color="auto"/>
          </w:divBdr>
        </w:div>
        <w:div w:id="1863780824">
          <w:marLeft w:val="0"/>
          <w:marRight w:val="0"/>
          <w:marTop w:val="0"/>
          <w:marBottom w:val="0"/>
          <w:divBdr>
            <w:top w:val="none" w:sz="0" w:space="0" w:color="auto"/>
            <w:left w:val="none" w:sz="0" w:space="0" w:color="auto"/>
            <w:bottom w:val="none" w:sz="0" w:space="0" w:color="auto"/>
            <w:right w:val="none" w:sz="0" w:space="0" w:color="auto"/>
          </w:divBdr>
        </w:div>
        <w:div w:id="1012146972">
          <w:marLeft w:val="0"/>
          <w:marRight w:val="0"/>
          <w:marTop w:val="0"/>
          <w:marBottom w:val="0"/>
          <w:divBdr>
            <w:top w:val="none" w:sz="0" w:space="0" w:color="auto"/>
            <w:left w:val="none" w:sz="0" w:space="0" w:color="auto"/>
            <w:bottom w:val="none" w:sz="0" w:space="0" w:color="auto"/>
            <w:right w:val="none" w:sz="0" w:space="0" w:color="auto"/>
          </w:divBdr>
        </w:div>
        <w:div w:id="2029795303">
          <w:marLeft w:val="0"/>
          <w:marRight w:val="0"/>
          <w:marTop w:val="0"/>
          <w:marBottom w:val="0"/>
          <w:divBdr>
            <w:top w:val="none" w:sz="0" w:space="0" w:color="auto"/>
            <w:left w:val="none" w:sz="0" w:space="0" w:color="auto"/>
            <w:bottom w:val="none" w:sz="0" w:space="0" w:color="auto"/>
            <w:right w:val="none" w:sz="0" w:space="0" w:color="auto"/>
          </w:divBdr>
        </w:div>
        <w:div w:id="623004017">
          <w:marLeft w:val="0"/>
          <w:marRight w:val="0"/>
          <w:marTop w:val="0"/>
          <w:marBottom w:val="0"/>
          <w:divBdr>
            <w:top w:val="none" w:sz="0" w:space="0" w:color="auto"/>
            <w:left w:val="none" w:sz="0" w:space="0" w:color="auto"/>
            <w:bottom w:val="none" w:sz="0" w:space="0" w:color="auto"/>
            <w:right w:val="none" w:sz="0" w:space="0" w:color="auto"/>
          </w:divBdr>
        </w:div>
        <w:div w:id="59789315">
          <w:marLeft w:val="0"/>
          <w:marRight w:val="0"/>
          <w:marTop w:val="0"/>
          <w:marBottom w:val="0"/>
          <w:divBdr>
            <w:top w:val="none" w:sz="0" w:space="0" w:color="auto"/>
            <w:left w:val="none" w:sz="0" w:space="0" w:color="auto"/>
            <w:bottom w:val="none" w:sz="0" w:space="0" w:color="auto"/>
            <w:right w:val="none" w:sz="0" w:space="0" w:color="auto"/>
          </w:divBdr>
          <w:divsChild>
            <w:div w:id="431364007">
              <w:marLeft w:val="0"/>
              <w:marRight w:val="0"/>
              <w:marTop w:val="0"/>
              <w:marBottom w:val="0"/>
              <w:divBdr>
                <w:top w:val="none" w:sz="0" w:space="0" w:color="auto"/>
                <w:left w:val="none" w:sz="0" w:space="0" w:color="auto"/>
                <w:bottom w:val="none" w:sz="0" w:space="0" w:color="auto"/>
                <w:right w:val="none" w:sz="0" w:space="0" w:color="auto"/>
              </w:divBdr>
            </w:div>
            <w:div w:id="2126538406">
              <w:marLeft w:val="0"/>
              <w:marRight w:val="0"/>
              <w:marTop w:val="0"/>
              <w:marBottom w:val="0"/>
              <w:divBdr>
                <w:top w:val="none" w:sz="0" w:space="0" w:color="auto"/>
                <w:left w:val="none" w:sz="0" w:space="0" w:color="auto"/>
                <w:bottom w:val="none" w:sz="0" w:space="0" w:color="auto"/>
                <w:right w:val="none" w:sz="0" w:space="0" w:color="auto"/>
              </w:divBdr>
            </w:div>
            <w:div w:id="622006033">
              <w:marLeft w:val="0"/>
              <w:marRight w:val="0"/>
              <w:marTop w:val="0"/>
              <w:marBottom w:val="0"/>
              <w:divBdr>
                <w:top w:val="none" w:sz="0" w:space="0" w:color="auto"/>
                <w:left w:val="none" w:sz="0" w:space="0" w:color="auto"/>
                <w:bottom w:val="none" w:sz="0" w:space="0" w:color="auto"/>
                <w:right w:val="none" w:sz="0" w:space="0" w:color="auto"/>
              </w:divBdr>
            </w:div>
            <w:div w:id="475613929">
              <w:marLeft w:val="0"/>
              <w:marRight w:val="0"/>
              <w:marTop w:val="0"/>
              <w:marBottom w:val="0"/>
              <w:divBdr>
                <w:top w:val="none" w:sz="0" w:space="0" w:color="auto"/>
                <w:left w:val="none" w:sz="0" w:space="0" w:color="auto"/>
                <w:bottom w:val="none" w:sz="0" w:space="0" w:color="auto"/>
                <w:right w:val="none" w:sz="0" w:space="0" w:color="auto"/>
              </w:divBdr>
            </w:div>
            <w:div w:id="1803423562">
              <w:marLeft w:val="0"/>
              <w:marRight w:val="0"/>
              <w:marTop w:val="0"/>
              <w:marBottom w:val="0"/>
              <w:divBdr>
                <w:top w:val="none" w:sz="0" w:space="0" w:color="auto"/>
                <w:left w:val="none" w:sz="0" w:space="0" w:color="auto"/>
                <w:bottom w:val="none" w:sz="0" w:space="0" w:color="auto"/>
                <w:right w:val="none" w:sz="0" w:space="0" w:color="auto"/>
              </w:divBdr>
            </w:div>
          </w:divsChild>
        </w:div>
        <w:div w:id="1647129442">
          <w:marLeft w:val="0"/>
          <w:marRight w:val="0"/>
          <w:marTop w:val="0"/>
          <w:marBottom w:val="0"/>
          <w:divBdr>
            <w:top w:val="none" w:sz="0" w:space="0" w:color="auto"/>
            <w:left w:val="none" w:sz="0" w:space="0" w:color="auto"/>
            <w:bottom w:val="none" w:sz="0" w:space="0" w:color="auto"/>
            <w:right w:val="none" w:sz="0" w:space="0" w:color="auto"/>
          </w:divBdr>
          <w:divsChild>
            <w:div w:id="735275155">
              <w:marLeft w:val="0"/>
              <w:marRight w:val="0"/>
              <w:marTop w:val="0"/>
              <w:marBottom w:val="0"/>
              <w:divBdr>
                <w:top w:val="none" w:sz="0" w:space="0" w:color="auto"/>
                <w:left w:val="none" w:sz="0" w:space="0" w:color="auto"/>
                <w:bottom w:val="none" w:sz="0" w:space="0" w:color="auto"/>
                <w:right w:val="none" w:sz="0" w:space="0" w:color="auto"/>
              </w:divBdr>
            </w:div>
            <w:div w:id="2099476877">
              <w:marLeft w:val="0"/>
              <w:marRight w:val="0"/>
              <w:marTop w:val="0"/>
              <w:marBottom w:val="0"/>
              <w:divBdr>
                <w:top w:val="none" w:sz="0" w:space="0" w:color="auto"/>
                <w:left w:val="none" w:sz="0" w:space="0" w:color="auto"/>
                <w:bottom w:val="none" w:sz="0" w:space="0" w:color="auto"/>
                <w:right w:val="none" w:sz="0" w:space="0" w:color="auto"/>
              </w:divBdr>
            </w:div>
            <w:div w:id="963316305">
              <w:marLeft w:val="0"/>
              <w:marRight w:val="0"/>
              <w:marTop w:val="0"/>
              <w:marBottom w:val="0"/>
              <w:divBdr>
                <w:top w:val="none" w:sz="0" w:space="0" w:color="auto"/>
                <w:left w:val="none" w:sz="0" w:space="0" w:color="auto"/>
                <w:bottom w:val="none" w:sz="0" w:space="0" w:color="auto"/>
                <w:right w:val="none" w:sz="0" w:space="0" w:color="auto"/>
              </w:divBdr>
            </w:div>
            <w:div w:id="1419448435">
              <w:marLeft w:val="0"/>
              <w:marRight w:val="0"/>
              <w:marTop w:val="0"/>
              <w:marBottom w:val="0"/>
              <w:divBdr>
                <w:top w:val="none" w:sz="0" w:space="0" w:color="auto"/>
                <w:left w:val="none" w:sz="0" w:space="0" w:color="auto"/>
                <w:bottom w:val="none" w:sz="0" w:space="0" w:color="auto"/>
                <w:right w:val="none" w:sz="0" w:space="0" w:color="auto"/>
              </w:divBdr>
            </w:div>
            <w:div w:id="367685641">
              <w:marLeft w:val="0"/>
              <w:marRight w:val="0"/>
              <w:marTop w:val="0"/>
              <w:marBottom w:val="0"/>
              <w:divBdr>
                <w:top w:val="none" w:sz="0" w:space="0" w:color="auto"/>
                <w:left w:val="none" w:sz="0" w:space="0" w:color="auto"/>
                <w:bottom w:val="none" w:sz="0" w:space="0" w:color="auto"/>
                <w:right w:val="none" w:sz="0" w:space="0" w:color="auto"/>
              </w:divBdr>
            </w:div>
            <w:div w:id="914321532">
              <w:marLeft w:val="0"/>
              <w:marRight w:val="0"/>
              <w:marTop w:val="0"/>
              <w:marBottom w:val="0"/>
              <w:divBdr>
                <w:top w:val="none" w:sz="0" w:space="0" w:color="auto"/>
                <w:left w:val="none" w:sz="0" w:space="0" w:color="auto"/>
                <w:bottom w:val="none" w:sz="0" w:space="0" w:color="auto"/>
                <w:right w:val="none" w:sz="0" w:space="0" w:color="auto"/>
              </w:divBdr>
            </w:div>
          </w:divsChild>
        </w:div>
        <w:div w:id="1266503027">
          <w:marLeft w:val="0"/>
          <w:marRight w:val="0"/>
          <w:marTop w:val="0"/>
          <w:marBottom w:val="0"/>
          <w:divBdr>
            <w:top w:val="none" w:sz="0" w:space="0" w:color="auto"/>
            <w:left w:val="none" w:sz="0" w:space="0" w:color="auto"/>
            <w:bottom w:val="none" w:sz="0" w:space="0" w:color="auto"/>
            <w:right w:val="none" w:sz="0" w:space="0" w:color="auto"/>
          </w:divBdr>
          <w:divsChild>
            <w:div w:id="1891453646">
              <w:marLeft w:val="0"/>
              <w:marRight w:val="0"/>
              <w:marTop w:val="0"/>
              <w:marBottom w:val="0"/>
              <w:divBdr>
                <w:top w:val="none" w:sz="0" w:space="0" w:color="auto"/>
                <w:left w:val="none" w:sz="0" w:space="0" w:color="auto"/>
                <w:bottom w:val="none" w:sz="0" w:space="0" w:color="auto"/>
                <w:right w:val="none" w:sz="0" w:space="0" w:color="auto"/>
              </w:divBdr>
            </w:div>
            <w:div w:id="1705446798">
              <w:marLeft w:val="0"/>
              <w:marRight w:val="0"/>
              <w:marTop w:val="0"/>
              <w:marBottom w:val="0"/>
              <w:divBdr>
                <w:top w:val="none" w:sz="0" w:space="0" w:color="auto"/>
                <w:left w:val="none" w:sz="0" w:space="0" w:color="auto"/>
                <w:bottom w:val="none" w:sz="0" w:space="0" w:color="auto"/>
                <w:right w:val="none" w:sz="0" w:space="0" w:color="auto"/>
              </w:divBdr>
            </w:div>
            <w:div w:id="288319218">
              <w:marLeft w:val="0"/>
              <w:marRight w:val="0"/>
              <w:marTop w:val="0"/>
              <w:marBottom w:val="0"/>
              <w:divBdr>
                <w:top w:val="none" w:sz="0" w:space="0" w:color="auto"/>
                <w:left w:val="none" w:sz="0" w:space="0" w:color="auto"/>
                <w:bottom w:val="none" w:sz="0" w:space="0" w:color="auto"/>
                <w:right w:val="none" w:sz="0" w:space="0" w:color="auto"/>
              </w:divBdr>
            </w:div>
            <w:div w:id="1818180707">
              <w:marLeft w:val="0"/>
              <w:marRight w:val="0"/>
              <w:marTop w:val="0"/>
              <w:marBottom w:val="0"/>
              <w:divBdr>
                <w:top w:val="none" w:sz="0" w:space="0" w:color="auto"/>
                <w:left w:val="none" w:sz="0" w:space="0" w:color="auto"/>
                <w:bottom w:val="none" w:sz="0" w:space="0" w:color="auto"/>
                <w:right w:val="none" w:sz="0" w:space="0" w:color="auto"/>
              </w:divBdr>
            </w:div>
          </w:divsChild>
        </w:div>
        <w:div w:id="1685664007">
          <w:marLeft w:val="0"/>
          <w:marRight w:val="0"/>
          <w:marTop w:val="0"/>
          <w:marBottom w:val="0"/>
          <w:divBdr>
            <w:top w:val="none" w:sz="0" w:space="0" w:color="auto"/>
            <w:left w:val="none" w:sz="0" w:space="0" w:color="auto"/>
            <w:bottom w:val="none" w:sz="0" w:space="0" w:color="auto"/>
            <w:right w:val="none" w:sz="0" w:space="0" w:color="auto"/>
          </w:divBdr>
          <w:divsChild>
            <w:div w:id="1520270544">
              <w:marLeft w:val="0"/>
              <w:marRight w:val="0"/>
              <w:marTop w:val="0"/>
              <w:marBottom w:val="0"/>
              <w:divBdr>
                <w:top w:val="none" w:sz="0" w:space="0" w:color="auto"/>
                <w:left w:val="none" w:sz="0" w:space="0" w:color="auto"/>
                <w:bottom w:val="none" w:sz="0" w:space="0" w:color="auto"/>
                <w:right w:val="none" w:sz="0" w:space="0" w:color="auto"/>
              </w:divBdr>
            </w:div>
            <w:div w:id="1422920283">
              <w:marLeft w:val="0"/>
              <w:marRight w:val="0"/>
              <w:marTop w:val="0"/>
              <w:marBottom w:val="0"/>
              <w:divBdr>
                <w:top w:val="none" w:sz="0" w:space="0" w:color="auto"/>
                <w:left w:val="none" w:sz="0" w:space="0" w:color="auto"/>
                <w:bottom w:val="none" w:sz="0" w:space="0" w:color="auto"/>
                <w:right w:val="none" w:sz="0" w:space="0" w:color="auto"/>
              </w:divBdr>
            </w:div>
            <w:div w:id="1297099443">
              <w:marLeft w:val="0"/>
              <w:marRight w:val="0"/>
              <w:marTop w:val="0"/>
              <w:marBottom w:val="0"/>
              <w:divBdr>
                <w:top w:val="none" w:sz="0" w:space="0" w:color="auto"/>
                <w:left w:val="none" w:sz="0" w:space="0" w:color="auto"/>
                <w:bottom w:val="none" w:sz="0" w:space="0" w:color="auto"/>
                <w:right w:val="none" w:sz="0" w:space="0" w:color="auto"/>
              </w:divBdr>
            </w:div>
            <w:div w:id="533886460">
              <w:marLeft w:val="0"/>
              <w:marRight w:val="0"/>
              <w:marTop w:val="0"/>
              <w:marBottom w:val="0"/>
              <w:divBdr>
                <w:top w:val="none" w:sz="0" w:space="0" w:color="auto"/>
                <w:left w:val="none" w:sz="0" w:space="0" w:color="auto"/>
                <w:bottom w:val="none" w:sz="0" w:space="0" w:color="auto"/>
                <w:right w:val="none" w:sz="0" w:space="0" w:color="auto"/>
              </w:divBdr>
            </w:div>
            <w:div w:id="1704598433">
              <w:marLeft w:val="0"/>
              <w:marRight w:val="0"/>
              <w:marTop w:val="0"/>
              <w:marBottom w:val="0"/>
              <w:divBdr>
                <w:top w:val="none" w:sz="0" w:space="0" w:color="auto"/>
                <w:left w:val="none" w:sz="0" w:space="0" w:color="auto"/>
                <w:bottom w:val="none" w:sz="0" w:space="0" w:color="auto"/>
                <w:right w:val="none" w:sz="0" w:space="0" w:color="auto"/>
              </w:divBdr>
            </w:div>
            <w:div w:id="30600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33167">
      <w:bodyDiv w:val="1"/>
      <w:marLeft w:val="0"/>
      <w:marRight w:val="0"/>
      <w:marTop w:val="0"/>
      <w:marBottom w:val="0"/>
      <w:divBdr>
        <w:top w:val="none" w:sz="0" w:space="0" w:color="auto"/>
        <w:left w:val="none" w:sz="0" w:space="0" w:color="auto"/>
        <w:bottom w:val="none" w:sz="0" w:space="0" w:color="auto"/>
        <w:right w:val="none" w:sz="0" w:space="0" w:color="auto"/>
      </w:divBdr>
      <w:divsChild>
        <w:div w:id="1118110611">
          <w:marLeft w:val="0"/>
          <w:marRight w:val="0"/>
          <w:marTop w:val="0"/>
          <w:marBottom w:val="0"/>
          <w:divBdr>
            <w:top w:val="none" w:sz="0" w:space="0" w:color="auto"/>
            <w:left w:val="none" w:sz="0" w:space="0" w:color="auto"/>
            <w:bottom w:val="none" w:sz="0" w:space="0" w:color="auto"/>
            <w:right w:val="none" w:sz="0" w:space="0" w:color="auto"/>
          </w:divBdr>
          <w:divsChild>
            <w:div w:id="908737236">
              <w:marLeft w:val="0"/>
              <w:marRight w:val="0"/>
              <w:marTop w:val="0"/>
              <w:marBottom w:val="0"/>
              <w:divBdr>
                <w:top w:val="none" w:sz="0" w:space="0" w:color="auto"/>
                <w:left w:val="none" w:sz="0" w:space="0" w:color="auto"/>
                <w:bottom w:val="none" w:sz="0" w:space="0" w:color="auto"/>
                <w:right w:val="none" w:sz="0" w:space="0" w:color="auto"/>
              </w:divBdr>
            </w:div>
            <w:div w:id="1685597716">
              <w:marLeft w:val="0"/>
              <w:marRight w:val="0"/>
              <w:marTop w:val="0"/>
              <w:marBottom w:val="0"/>
              <w:divBdr>
                <w:top w:val="none" w:sz="0" w:space="0" w:color="auto"/>
                <w:left w:val="none" w:sz="0" w:space="0" w:color="auto"/>
                <w:bottom w:val="none" w:sz="0" w:space="0" w:color="auto"/>
                <w:right w:val="none" w:sz="0" w:space="0" w:color="auto"/>
              </w:divBdr>
            </w:div>
          </w:divsChild>
        </w:div>
        <w:div w:id="1391807276">
          <w:marLeft w:val="0"/>
          <w:marRight w:val="0"/>
          <w:marTop w:val="0"/>
          <w:marBottom w:val="0"/>
          <w:divBdr>
            <w:top w:val="none" w:sz="0" w:space="0" w:color="auto"/>
            <w:left w:val="none" w:sz="0" w:space="0" w:color="auto"/>
            <w:bottom w:val="none" w:sz="0" w:space="0" w:color="auto"/>
            <w:right w:val="none" w:sz="0" w:space="0" w:color="auto"/>
          </w:divBdr>
          <w:divsChild>
            <w:div w:id="871071579">
              <w:marLeft w:val="0"/>
              <w:marRight w:val="0"/>
              <w:marTop w:val="0"/>
              <w:marBottom w:val="0"/>
              <w:divBdr>
                <w:top w:val="none" w:sz="0" w:space="0" w:color="auto"/>
                <w:left w:val="none" w:sz="0" w:space="0" w:color="auto"/>
                <w:bottom w:val="none" w:sz="0" w:space="0" w:color="auto"/>
                <w:right w:val="none" w:sz="0" w:space="0" w:color="auto"/>
              </w:divBdr>
            </w:div>
            <w:div w:id="1639871815">
              <w:marLeft w:val="0"/>
              <w:marRight w:val="0"/>
              <w:marTop w:val="0"/>
              <w:marBottom w:val="0"/>
              <w:divBdr>
                <w:top w:val="none" w:sz="0" w:space="0" w:color="auto"/>
                <w:left w:val="none" w:sz="0" w:space="0" w:color="auto"/>
                <w:bottom w:val="none" w:sz="0" w:space="0" w:color="auto"/>
                <w:right w:val="none" w:sz="0" w:space="0" w:color="auto"/>
              </w:divBdr>
            </w:div>
          </w:divsChild>
        </w:div>
        <w:div w:id="1613633321">
          <w:marLeft w:val="0"/>
          <w:marRight w:val="0"/>
          <w:marTop w:val="0"/>
          <w:marBottom w:val="0"/>
          <w:divBdr>
            <w:top w:val="none" w:sz="0" w:space="0" w:color="auto"/>
            <w:left w:val="none" w:sz="0" w:space="0" w:color="auto"/>
            <w:bottom w:val="none" w:sz="0" w:space="0" w:color="auto"/>
            <w:right w:val="none" w:sz="0" w:space="0" w:color="auto"/>
          </w:divBdr>
        </w:div>
        <w:div w:id="352656150">
          <w:marLeft w:val="0"/>
          <w:marRight w:val="0"/>
          <w:marTop w:val="0"/>
          <w:marBottom w:val="0"/>
          <w:divBdr>
            <w:top w:val="none" w:sz="0" w:space="0" w:color="auto"/>
            <w:left w:val="none" w:sz="0" w:space="0" w:color="auto"/>
            <w:bottom w:val="none" w:sz="0" w:space="0" w:color="auto"/>
            <w:right w:val="none" w:sz="0" w:space="0" w:color="auto"/>
          </w:divBdr>
        </w:div>
        <w:div w:id="1014918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Drosophila_melanogaster" TargetMode="External"/><Relationship Id="rId299" Type="http://schemas.openxmlformats.org/officeDocument/2006/relationships/hyperlink" Target="https://en.wikipedia.org/wiki/Major_histocompatibility_complex" TargetMode="External"/><Relationship Id="rId303" Type="http://schemas.openxmlformats.org/officeDocument/2006/relationships/hyperlink" Target="https://en.wikipedia.org/wiki/Thymus" TargetMode="External"/><Relationship Id="rId21" Type="http://schemas.openxmlformats.org/officeDocument/2006/relationships/hyperlink" Target="https://en.wikipedia.org/wiki/Medicine" TargetMode="External"/><Relationship Id="rId42" Type="http://schemas.openxmlformats.org/officeDocument/2006/relationships/hyperlink" Target="https://en.wikipedia.org/wiki/Intentional_stance" TargetMode="External"/><Relationship Id="rId63" Type="http://schemas.openxmlformats.org/officeDocument/2006/relationships/hyperlink" Target="https://en.wikipedia.org/wiki/Adaptive_immune_system" TargetMode="External"/><Relationship Id="rId84" Type="http://schemas.openxmlformats.org/officeDocument/2006/relationships/hyperlink" Target="https://en.wikipedia.org/wiki/Inflammation" TargetMode="External"/><Relationship Id="rId138" Type="http://schemas.openxmlformats.org/officeDocument/2006/relationships/hyperlink" Target="https://en.wikipedia.org/wiki/Respiratory_tract" TargetMode="External"/><Relationship Id="rId159" Type="http://schemas.openxmlformats.org/officeDocument/2006/relationships/hyperlink" Target="https://en.wikipedia.org/wiki/Immune_system" TargetMode="External"/><Relationship Id="rId324" Type="http://schemas.openxmlformats.org/officeDocument/2006/relationships/hyperlink" Target="https://en.wikipedia.org/wiki/Immune_system" TargetMode="External"/><Relationship Id="rId345" Type="http://schemas.openxmlformats.org/officeDocument/2006/relationships/hyperlink" Target="https://www.ncbi.nlm.nih.gov/books/NBK499994/" TargetMode="External"/><Relationship Id="rId170" Type="http://schemas.openxmlformats.org/officeDocument/2006/relationships/hyperlink" Target="https://en.wikipedia.org/wiki/Fungus" TargetMode="External"/><Relationship Id="rId191" Type="http://schemas.openxmlformats.org/officeDocument/2006/relationships/hyperlink" Target="https://en.wikipedia.org/wiki/Basophil_granulocyte" TargetMode="External"/><Relationship Id="rId205" Type="http://schemas.openxmlformats.org/officeDocument/2006/relationships/hyperlink" Target="https://en.wikipedia.org/wiki/Nutrient" TargetMode="External"/><Relationship Id="rId226" Type="http://schemas.openxmlformats.org/officeDocument/2006/relationships/hyperlink" Target="https://en.wikipedia.org/wiki/Immune_system" TargetMode="External"/><Relationship Id="rId247" Type="http://schemas.openxmlformats.org/officeDocument/2006/relationships/hyperlink" Target="https://en.wikipedia.org/wiki/Natural_killer_cells" TargetMode="External"/><Relationship Id="rId107" Type="http://schemas.openxmlformats.org/officeDocument/2006/relationships/hyperlink" Target="https://en.wikipedia.org/wiki/Innate_immune_system" TargetMode="External"/><Relationship Id="rId268" Type="http://schemas.openxmlformats.org/officeDocument/2006/relationships/hyperlink" Target="https://en.wikipedia.org/wiki/Antiviral_drug" TargetMode="External"/><Relationship Id="rId289" Type="http://schemas.openxmlformats.org/officeDocument/2006/relationships/hyperlink" Target="https://en.wikipedia.org/wiki/Opsonin" TargetMode="External"/><Relationship Id="rId11" Type="http://schemas.openxmlformats.org/officeDocument/2006/relationships/hyperlink" Target="https://en.wikipedia.org/wiki/Philosophy" TargetMode="External"/><Relationship Id="rId32" Type="http://schemas.openxmlformats.org/officeDocument/2006/relationships/hyperlink" Target="https://en.wikipedia.org/wiki/Genetic_predisposition" TargetMode="External"/><Relationship Id="rId53" Type="http://schemas.openxmlformats.org/officeDocument/2006/relationships/hyperlink" Target="https://en.wikipedia.org/wiki/Evolutionary_psychology" TargetMode="External"/><Relationship Id="rId74" Type="http://schemas.openxmlformats.org/officeDocument/2006/relationships/hyperlink" Target="https://en.wikipedia.org/wiki/Bacteriophage" TargetMode="External"/><Relationship Id="rId128" Type="http://schemas.openxmlformats.org/officeDocument/2006/relationships/hyperlink" Target="https://en.wikipedia.org/wiki/Eggshell" TargetMode="External"/><Relationship Id="rId149" Type="http://schemas.openxmlformats.org/officeDocument/2006/relationships/hyperlink" Target="https://en.wikipedia.org/wiki/Saliva" TargetMode="External"/><Relationship Id="rId314" Type="http://schemas.openxmlformats.org/officeDocument/2006/relationships/hyperlink" Target="https://en.wikipedia.org/wiki/T-cell_receptor" TargetMode="External"/><Relationship Id="rId335" Type="http://schemas.openxmlformats.org/officeDocument/2006/relationships/hyperlink" Target="https://en.wikipedia.org/wiki/Cortisol" TargetMode="External"/><Relationship Id="rId5" Type="http://schemas.openxmlformats.org/officeDocument/2006/relationships/hyperlink" Target="http://WWW.ncbi.nlm.nih" TargetMode="External"/><Relationship Id="rId95" Type="http://schemas.openxmlformats.org/officeDocument/2006/relationships/hyperlink" Target="https://en.wikipedia.org/wiki/Diabetes_mellitus_type_1" TargetMode="External"/><Relationship Id="rId160" Type="http://schemas.openxmlformats.org/officeDocument/2006/relationships/hyperlink" Target="https://en.wikipedia.org/wiki/Immune_system" TargetMode="External"/><Relationship Id="rId181" Type="http://schemas.openxmlformats.org/officeDocument/2006/relationships/hyperlink" Target="https://en.wikipedia.org/wiki/Immune_system" TargetMode="External"/><Relationship Id="rId216" Type="http://schemas.openxmlformats.org/officeDocument/2006/relationships/hyperlink" Target="https://en.wikipedia.org/wiki/Immune_system" TargetMode="External"/><Relationship Id="rId237" Type="http://schemas.openxmlformats.org/officeDocument/2006/relationships/hyperlink" Target="https://en.wikipedia.org/wiki/Asthma" TargetMode="External"/><Relationship Id="rId258" Type="http://schemas.openxmlformats.org/officeDocument/2006/relationships/hyperlink" Target="https://en.wikipedia.org/wiki/Vasodilator" TargetMode="External"/><Relationship Id="rId279" Type="http://schemas.openxmlformats.org/officeDocument/2006/relationships/hyperlink" Target="https://en.wikipedia.org/wiki/Immune_system" TargetMode="External"/><Relationship Id="rId22" Type="http://schemas.openxmlformats.org/officeDocument/2006/relationships/hyperlink" Target="https://en.wikipedia.org/wiki/Sign_(medicine)" TargetMode="External"/><Relationship Id="rId43" Type="http://schemas.openxmlformats.org/officeDocument/2006/relationships/hyperlink" Target="https://en.wikipedia.org/wiki/Genetic_predisposition" TargetMode="External"/><Relationship Id="rId64" Type="http://schemas.openxmlformats.org/officeDocument/2006/relationships/hyperlink" Target="https://en.wikipedia.org/wiki/Humoral_immunity" TargetMode="External"/><Relationship Id="rId118" Type="http://schemas.openxmlformats.org/officeDocument/2006/relationships/hyperlink" Target="https://en.wikipedia.org/wiki/Cytokine" TargetMode="External"/><Relationship Id="rId139" Type="http://schemas.openxmlformats.org/officeDocument/2006/relationships/hyperlink" Target="https://en.wikipedia.org/wiki/Tears" TargetMode="External"/><Relationship Id="rId290" Type="http://schemas.openxmlformats.org/officeDocument/2006/relationships/hyperlink" Target="https://en.wikipedia.org/wiki/Cell_membrane" TargetMode="External"/><Relationship Id="rId304" Type="http://schemas.openxmlformats.org/officeDocument/2006/relationships/hyperlink" Target="https://en.wikipedia.org/wiki/Iodine" TargetMode="External"/><Relationship Id="rId325" Type="http://schemas.openxmlformats.org/officeDocument/2006/relationships/hyperlink" Target="https://en.wikipedia.org/wiki/T_helper_cell" TargetMode="External"/><Relationship Id="rId346" Type="http://schemas.openxmlformats.org/officeDocument/2006/relationships/hyperlink" Target="https://www.ncbi.nlm.nih.gov/books/NBK499994/" TargetMode="External"/><Relationship Id="rId85" Type="http://schemas.openxmlformats.org/officeDocument/2006/relationships/hyperlink" Target="https://en.wikipedia.org/wiki/Carcinogenesis" TargetMode="External"/><Relationship Id="rId150" Type="http://schemas.openxmlformats.org/officeDocument/2006/relationships/hyperlink" Target="https://en.wikipedia.org/wiki/Breast_milk" TargetMode="External"/><Relationship Id="rId171" Type="http://schemas.openxmlformats.org/officeDocument/2006/relationships/hyperlink" Target="https://en.wikipedia.org/wiki/Candidiasis" TargetMode="External"/><Relationship Id="rId192" Type="http://schemas.openxmlformats.org/officeDocument/2006/relationships/hyperlink" Target="https://en.wikipedia.org/wiki/Natural_killer_cell" TargetMode="External"/><Relationship Id="rId206" Type="http://schemas.openxmlformats.org/officeDocument/2006/relationships/hyperlink" Target="https://en.wikipedia.org/wiki/Immune_system" TargetMode="External"/><Relationship Id="rId227" Type="http://schemas.openxmlformats.org/officeDocument/2006/relationships/hyperlink" Target="https://en.wikipedia.org/wiki/Mast_cell" TargetMode="External"/><Relationship Id="rId248" Type="http://schemas.openxmlformats.org/officeDocument/2006/relationships/hyperlink" Target="https://en.wikipedia.org/wiki/Immune_system" TargetMode="External"/><Relationship Id="rId269" Type="http://schemas.openxmlformats.org/officeDocument/2006/relationships/hyperlink" Target="https://en.wikipedia.org/wiki/Protein_biosynthesis" TargetMode="External"/><Relationship Id="rId12" Type="http://schemas.openxmlformats.org/officeDocument/2006/relationships/hyperlink" Target="https://en.wikipedia.org/wiki/Physics" TargetMode="External"/><Relationship Id="rId33" Type="http://schemas.openxmlformats.org/officeDocument/2006/relationships/hyperlink" Target="https://en.wikipedia.org/wiki/Tobacco_smoking" TargetMode="External"/><Relationship Id="rId108" Type="http://schemas.openxmlformats.org/officeDocument/2006/relationships/hyperlink" Target="https://en.wikipedia.org/wiki/Immune_system" TargetMode="External"/><Relationship Id="rId129" Type="http://schemas.openxmlformats.org/officeDocument/2006/relationships/hyperlink" Target="https://en.wikipedia.org/wiki/Egg_(biology)" TargetMode="External"/><Relationship Id="rId280" Type="http://schemas.openxmlformats.org/officeDocument/2006/relationships/hyperlink" Target="https://en.wikipedia.org/wiki/Carbohydrate" TargetMode="External"/><Relationship Id="rId315" Type="http://schemas.openxmlformats.org/officeDocument/2006/relationships/hyperlink" Target="https://en.wikipedia.org/wiki/Co-receptor" TargetMode="External"/><Relationship Id="rId336" Type="http://schemas.openxmlformats.org/officeDocument/2006/relationships/hyperlink" Target="https://en.wikipedia.org/wiki/Epinephrine" TargetMode="External"/><Relationship Id="rId54" Type="http://schemas.openxmlformats.org/officeDocument/2006/relationships/hyperlink" Target="https://en.wikipedia.org/wiki/Biological_process" TargetMode="External"/><Relationship Id="rId75" Type="http://schemas.openxmlformats.org/officeDocument/2006/relationships/hyperlink" Target="https://en.wikipedia.org/wiki/Eukaryote" TargetMode="External"/><Relationship Id="rId96" Type="http://schemas.openxmlformats.org/officeDocument/2006/relationships/hyperlink" Target="https://en.wikipedia.org/wiki/Systemic_lupus_erythematosus" TargetMode="External"/><Relationship Id="rId140" Type="http://schemas.openxmlformats.org/officeDocument/2006/relationships/hyperlink" Target="https://en.wikipedia.org/wiki/Urine" TargetMode="External"/><Relationship Id="rId161" Type="http://schemas.openxmlformats.org/officeDocument/2006/relationships/hyperlink" Target="https://en.wikipedia.org/wiki/Stomach" TargetMode="External"/><Relationship Id="rId182" Type="http://schemas.openxmlformats.org/officeDocument/2006/relationships/hyperlink" Target="https://en.wikipedia.org/wiki/Immune_system" TargetMode="External"/><Relationship Id="rId217" Type="http://schemas.openxmlformats.org/officeDocument/2006/relationships/hyperlink" Target="https://en.wikipedia.org/wiki/Dendritic_cell" TargetMode="External"/><Relationship Id="rId6" Type="http://schemas.openxmlformats.org/officeDocument/2006/relationships/hyperlink" Target="https://en.wikipedia.org/wiki/Causality" TargetMode="External"/><Relationship Id="rId238" Type="http://schemas.openxmlformats.org/officeDocument/2006/relationships/hyperlink" Target="https://en.wikipedia.org/wiki/Immune_system" TargetMode="External"/><Relationship Id="rId259" Type="http://schemas.openxmlformats.org/officeDocument/2006/relationships/hyperlink" Target="https://en.wikipedia.org/wiki/Blood_vessel" TargetMode="External"/><Relationship Id="rId23" Type="http://schemas.openxmlformats.org/officeDocument/2006/relationships/hyperlink" Target="https://en.wikipedia.org/wiki/Symptom" TargetMode="External"/><Relationship Id="rId119" Type="http://schemas.openxmlformats.org/officeDocument/2006/relationships/hyperlink" Target="https://en.wikipedia.org/wiki/Immune_system" TargetMode="External"/><Relationship Id="rId270" Type="http://schemas.openxmlformats.org/officeDocument/2006/relationships/hyperlink" Target="https://en.wikipedia.org/wiki/Immune_system" TargetMode="External"/><Relationship Id="rId291" Type="http://schemas.openxmlformats.org/officeDocument/2006/relationships/hyperlink" Target="https://en.wikipedia.org/wiki/Immune_system" TargetMode="External"/><Relationship Id="rId305" Type="http://schemas.openxmlformats.org/officeDocument/2006/relationships/hyperlink" Target="https://en.wikipedia.org/wiki/Immune_system" TargetMode="External"/><Relationship Id="rId326" Type="http://schemas.openxmlformats.org/officeDocument/2006/relationships/hyperlink" Target="https://en.wikipedia.org/wiki/Immune_system" TargetMode="External"/><Relationship Id="rId347" Type="http://schemas.openxmlformats.org/officeDocument/2006/relationships/hyperlink" Target="https://www.ncbi.nlm.nih.gov/books/NBK499994/" TargetMode="External"/><Relationship Id="rId44" Type="http://schemas.openxmlformats.org/officeDocument/2006/relationships/hyperlink" Target="https://en.wikipedia.org/wiki/Mind" TargetMode="External"/><Relationship Id="rId65" Type="http://schemas.openxmlformats.org/officeDocument/2006/relationships/hyperlink" Target="https://en.wikipedia.org/wiki/Cell-mediated_immunity" TargetMode="External"/><Relationship Id="rId86" Type="http://schemas.openxmlformats.org/officeDocument/2006/relationships/hyperlink" Target="https://en.wikipedia.org/wiki/Immune_system" TargetMode="External"/><Relationship Id="rId130" Type="http://schemas.openxmlformats.org/officeDocument/2006/relationships/hyperlink" Target="https://en.wikipedia.org/wiki/Skin" TargetMode="External"/><Relationship Id="rId151" Type="http://schemas.openxmlformats.org/officeDocument/2006/relationships/hyperlink" Target="https://en.wikipedia.org/wiki/Antiseptic" TargetMode="External"/><Relationship Id="rId172" Type="http://schemas.openxmlformats.org/officeDocument/2006/relationships/hyperlink" Target="https://en.wikipedia.org/wiki/Immune_system" TargetMode="External"/><Relationship Id="rId193" Type="http://schemas.openxmlformats.org/officeDocument/2006/relationships/hyperlink" Target="https://en.wikipedia.org/wiki/Immune_system" TargetMode="External"/><Relationship Id="rId207" Type="http://schemas.openxmlformats.org/officeDocument/2006/relationships/hyperlink" Target="https://en.wikipedia.org/wiki/Neutrophil" TargetMode="External"/><Relationship Id="rId228" Type="http://schemas.openxmlformats.org/officeDocument/2006/relationships/hyperlink" Target="https://en.wikipedia.org/wiki/Connective_tissue" TargetMode="External"/><Relationship Id="rId249" Type="http://schemas.openxmlformats.org/officeDocument/2006/relationships/hyperlink" Target="https://en.wikipedia.org/wiki/Major_histocompatibility_complex" TargetMode="External"/><Relationship Id="rId13" Type="http://schemas.openxmlformats.org/officeDocument/2006/relationships/hyperlink" Target="https://en.wikipedia.org/wiki/Psychology" TargetMode="External"/><Relationship Id="rId109" Type="http://schemas.openxmlformats.org/officeDocument/2006/relationships/hyperlink" Target="https://en.wikipedia.org/wiki/Immune_system" TargetMode="External"/><Relationship Id="rId260" Type="http://schemas.openxmlformats.org/officeDocument/2006/relationships/hyperlink" Target="https://en.wikipedia.org/wiki/Leukotriene" TargetMode="External"/><Relationship Id="rId281" Type="http://schemas.openxmlformats.org/officeDocument/2006/relationships/hyperlink" Target="https://en.wikipedia.org/wiki/Microbe" TargetMode="External"/><Relationship Id="rId316" Type="http://schemas.openxmlformats.org/officeDocument/2006/relationships/hyperlink" Target="https://en.wikipedia.org/wiki/CD8" TargetMode="External"/><Relationship Id="rId337" Type="http://schemas.openxmlformats.org/officeDocument/2006/relationships/hyperlink" Target="https://en.wikipedia.org/wiki/Norepinephrine" TargetMode="External"/><Relationship Id="rId34" Type="http://schemas.openxmlformats.org/officeDocument/2006/relationships/hyperlink" Target="https://en.wikipedia.org/wiki/Dieting" TargetMode="External"/><Relationship Id="rId55" Type="http://schemas.openxmlformats.org/officeDocument/2006/relationships/hyperlink" Target="https://en.wikipedia.org/wiki/Organism" TargetMode="External"/><Relationship Id="rId76" Type="http://schemas.openxmlformats.org/officeDocument/2006/relationships/hyperlink" Target="https://en.wikipedia.org/wiki/Phagocytosis" TargetMode="External"/><Relationship Id="rId97" Type="http://schemas.openxmlformats.org/officeDocument/2006/relationships/hyperlink" Target="https://en.wikipedia.org/wiki/Immunology" TargetMode="External"/><Relationship Id="rId120" Type="http://schemas.openxmlformats.org/officeDocument/2006/relationships/hyperlink" Target="https://en.wikipedia.org/wiki/NOD-like_receptor" TargetMode="External"/><Relationship Id="rId141" Type="http://schemas.openxmlformats.org/officeDocument/2006/relationships/hyperlink" Target="https://en.wikipedia.org/wiki/Mucus" TargetMode="External"/><Relationship Id="rId7" Type="http://schemas.openxmlformats.org/officeDocument/2006/relationships/hyperlink" Target="https://en.wikipedia.org/wiki/Ancient_Greek" TargetMode="External"/><Relationship Id="rId162" Type="http://schemas.openxmlformats.org/officeDocument/2006/relationships/hyperlink" Target="https://en.wikipedia.org/wiki/Gastric_acid" TargetMode="External"/><Relationship Id="rId183" Type="http://schemas.openxmlformats.org/officeDocument/2006/relationships/hyperlink" Target="https://en.wikipedia.org/wiki/Immune_system" TargetMode="External"/><Relationship Id="rId218" Type="http://schemas.openxmlformats.org/officeDocument/2006/relationships/hyperlink" Target="https://en.wikipedia.org/wiki/Human_skin" TargetMode="External"/><Relationship Id="rId239" Type="http://schemas.openxmlformats.org/officeDocument/2006/relationships/hyperlink" Target="https://en.wikipedia.org/wiki/Innate_lymphoid_cell" TargetMode="External"/><Relationship Id="rId250" Type="http://schemas.openxmlformats.org/officeDocument/2006/relationships/hyperlink" Target="https://en.wikipedia.org/wiki/Immune_system" TargetMode="External"/><Relationship Id="rId271" Type="http://schemas.openxmlformats.org/officeDocument/2006/relationships/hyperlink" Target="https://en.wikipedia.org/wiki/Growth_factor" TargetMode="External"/><Relationship Id="rId292" Type="http://schemas.openxmlformats.org/officeDocument/2006/relationships/hyperlink" Target="https://en.wikipedia.org/wiki/Immune_system" TargetMode="External"/><Relationship Id="rId306" Type="http://schemas.openxmlformats.org/officeDocument/2006/relationships/hyperlink" Target="https://en.wikipedia.org/wiki/Antibody" TargetMode="External"/><Relationship Id="rId24" Type="http://schemas.openxmlformats.org/officeDocument/2006/relationships/hyperlink" Target="https://en.wikipedia.org/wiki/Prognosis" TargetMode="External"/><Relationship Id="rId45" Type="http://schemas.openxmlformats.org/officeDocument/2006/relationships/hyperlink" Target="https://en.wikipedia.org/wiki/Hans_Eysenck" TargetMode="External"/><Relationship Id="rId66" Type="http://schemas.openxmlformats.org/officeDocument/2006/relationships/hyperlink" Target="https://en.wikipedia.org/wiki/Blood%E2%80%93brain_barrier" TargetMode="External"/><Relationship Id="rId87" Type="http://schemas.openxmlformats.org/officeDocument/2006/relationships/hyperlink" Target="https://en.wikipedia.org/wiki/Immunodeficiency" TargetMode="External"/><Relationship Id="rId110" Type="http://schemas.openxmlformats.org/officeDocument/2006/relationships/hyperlink" Target="https://en.wikipedia.org/wiki/Pathogen-associated_molecular_patterns" TargetMode="External"/><Relationship Id="rId131" Type="http://schemas.openxmlformats.org/officeDocument/2006/relationships/hyperlink" Target="https://en.wikipedia.org/wiki/Immune_system" TargetMode="External"/><Relationship Id="rId327" Type="http://schemas.openxmlformats.org/officeDocument/2006/relationships/hyperlink" Target="https://en.wikipedia.org/wiki/Immune_system" TargetMode="External"/><Relationship Id="rId348" Type="http://schemas.openxmlformats.org/officeDocument/2006/relationships/hyperlink" Target="https://www.ncbi.nlm.nih.gov/books/NBK499994/" TargetMode="External"/><Relationship Id="rId152" Type="http://schemas.openxmlformats.org/officeDocument/2006/relationships/hyperlink" Target="https://en.wikipedia.org/wiki/Immune_system" TargetMode="External"/><Relationship Id="rId173" Type="http://schemas.openxmlformats.org/officeDocument/2006/relationships/hyperlink" Target="https://en.wikipedia.org/wiki/Probiotic" TargetMode="External"/><Relationship Id="rId194" Type="http://schemas.openxmlformats.org/officeDocument/2006/relationships/hyperlink" Target="https://en.wikipedia.org/wiki/Immune_system" TargetMode="External"/><Relationship Id="rId208" Type="http://schemas.openxmlformats.org/officeDocument/2006/relationships/hyperlink" Target="https://en.wikipedia.org/wiki/Macrophage" TargetMode="External"/><Relationship Id="rId229" Type="http://schemas.openxmlformats.org/officeDocument/2006/relationships/hyperlink" Target="https://en.wikipedia.org/wiki/Mucous_membrane" TargetMode="External"/><Relationship Id="rId240" Type="http://schemas.openxmlformats.org/officeDocument/2006/relationships/hyperlink" Target="https://en.wikipedia.org/wiki/Innate_immune_system" TargetMode="External"/><Relationship Id="rId261" Type="http://schemas.openxmlformats.org/officeDocument/2006/relationships/hyperlink" Target="https://en.wikipedia.org/wiki/White_blood_cell" TargetMode="External"/><Relationship Id="rId14" Type="http://schemas.openxmlformats.org/officeDocument/2006/relationships/hyperlink" Target="https://en.wikipedia.org/wiki/Forms_of_government" TargetMode="External"/><Relationship Id="rId35" Type="http://schemas.openxmlformats.org/officeDocument/2006/relationships/hyperlink" Target="https://en.wikipedia.org/wiki/Genetic_test" TargetMode="External"/><Relationship Id="rId56" Type="http://schemas.openxmlformats.org/officeDocument/2006/relationships/hyperlink" Target="https://en.wikipedia.org/wiki/Disease" TargetMode="External"/><Relationship Id="rId77" Type="http://schemas.openxmlformats.org/officeDocument/2006/relationships/hyperlink" Target="https://en.wikipedia.org/wiki/Antimicrobial_peptides" TargetMode="External"/><Relationship Id="rId100" Type="http://schemas.openxmlformats.org/officeDocument/2006/relationships/hyperlink" Target="https://en.wikipedia.org/wiki/Immune_system" TargetMode="External"/><Relationship Id="rId282" Type="http://schemas.openxmlformats.org/officeDocument/2006/relationships/hyperlink" Target="https://en.wikipedia.org/wiki/Cell_signaling" TargetMode="External"/><Relationship Id="rId317" Type="http://schemas.openxmlformats.org/officeDocument/2006/relationships/hyperlink" Target="https://en.wikipedia.org/wiki/Cytotoxicity" TargetMode="External"/><Relationship Id="rId338" Type="http://schemas.openxmlformats.org/officeDocument/2006/relationships/hyperlink" Target="https://en.wikipedia.org/wiki/Interleukin-12" TargetMode="External"/><Relationship Id="rId8" Type="http://schemas.openxmlformats.org/officeDocument/2006/relationships/hyperlink" Target="https://en.wiktionary.org/wiki/-logia" TargetMode="External"/><Relationship Id="rId98" Type="http://schemas.openxmlformats.org/officeDocument/2006/relationships/hyperlink" Target="https://en.wikipedia.org/wiki/Pattern_recognition_receptors" TargetMode="External"/><Relationship Id="rId121" Type="http://schemas.openxmlformats.org/officeDocument/2006/relationships/hyperlink" Target="https://en.wikipedia.org/wiki/RIG-I-like_receptor" TargetMode="External"/><Relationship Id="rId142" Type="http://schemas.openxmlformats.org/officeDocument/2006/relationships/hyperlink" Target="https://en.wikipedia.org/wiki/Gastrointestinal_tract" TargetMode="External"/><Relationship Id="rId163" Type="http://schemas.openxmlformats.org/officeDocument/2006/relationships/hyperlink" Target="https://en.wikipedia.org/wiki/Immune_system" TargetMode="External"/><Relationship Id="rId184" Type="http://schemas.openxmlformats.org/officeDocument/2006/relationships/hyperlink" Target="https://en.wikipedia.org/wiki/Phagocyte" TargetMode="External"/><Relationship Id="rId219" Type="http://schemas.openxmlformats.org/officeDocument/2006/relationships/hyperlink" Target="https://en.wikipedia.org/wiki/Human_nose" TargetMode="External"/><Relationship Id="rId230" Type="http://schemas.openxmlformats.org/officeDocument/2006/relationships/hyperlink" Target="https://en.wikipedia.org/wiki/Immune_system" TargetMode="External"/><Relationship Id="rId251" Type="http://schemas.openxmlformats.org/officeDocument/2006/relationships/hyperlink" Target="https://en.wikipedia.org/wiki/Immune_system" TargetMode="External"/><Relationship Id="rId25" Type="http://schemas.openxmlformats.org/officeDocument/2006/relationships/hyperlink" Target="https://en.wikipedia.org/wiki/Prognosis" TargetMode="External"/><Relationship Id="rId46" Type="http://schemas.openxmlformats.org/officeDocument/2006/relationships/hyperlink" Target="https://en.wikipedia.org/wiki/Donald_Prell" TargetMode="External"/><Relationship Id="rId67" Type="http://schemas.openxmlformats.org/officeDocument/2006/relationships/hyperlink" Target="https://en.wikipedia.org/wiki/Blood%E2%80%93cerebrospinal_fluid_barrier" TargetMode="External"/><Relationship Id="rId272" Type="http://schemas.openxmlformats.org/officeDocument/2006/relationships/hyperlink" Target="https://en.wikipedia.org/wiki/Immune_system" TargetMode="External"/><Relationship Id="rId293" Type="http://schemas.openxmlformats.org/officeDocument/2006/relationships/hyperlink" Target="https://en.wikipedia.org/wiki/B_cell" TargetMode="External"/><Relationship Id="rId307" Type="http://schemas.openxmlformats.org/officeDocument/2006/relationships/hyperlink" Target="https://en.wikipedia.org/wiki/Antigen_processing" TargetMode="External"/><Relationship Id="rId328" Type="http://schemas.openxmlformats.org/officeDocument/2006/relationships/hyperlink" Target="https://en.wikipedia.org/wiki/CD4" TargetMode="External"/><Relationship Id="rId349" Type="http://schemas.openxmlformats.org/officeDocument/2006/relationships/hyperlink" Target="https://www.ncbi.nlm.nih.gov/books/NBK499994/" TargetMode="External"/><Relationship Id="rId20" Type="http://schemas.openxmlformats.org/officeDocument/2006/relationships/hyperlink" Target="https://en.wikipedia.org/wiki/Ancient_Greek" TargetMode="External"/><Relationship Id="rId41" Type="http://schemas.openxmlformats.org/officeDocument/2006/relationships/hyperlink" Target="https://en.wikipedia.org/wiki/Evolution" TargetMode="External"/><Relationship Id="rId62" Type="http://schemas.openxmlformats.org/officeDocument/2006/relationships/hyperlink" Target="https://en.wikipedia.org/wiki/Innate_immune_system" TargetMode="External"/><Relationship Id="rId83" Type="http://schemas.openxmlformats.org/officeDocument/2006/relationships/hyperlink" Target="https://en.wikipedia.org/wiki/Autoimmune_disease" TargetMode="External"/><Relationship Id="rId88" Type="http://schemas.openxmlformats.org/officeDocument/2006/relationships/hyperlink" Target="https://en.wikipedia.org/wiki/Genetic_disease" TargetMode="External"/><Relationship Id="rId111" Type="http://schemas.openxmlformats.org/officeDocument/2006/relationships/hyperlink" Target="https://en.wikipedia.org/wiki/Pathogens" TargetMode="External"/><Relationship Id="rId132" Type="http://schemas.openxmlformats.org/officeDocument/2006/relationships/hyperlink" Target="https://en.wikipedia.org/wiki/Lung" TargetMode="External"/><Relationship Id="rId153" Type="http://schemas.openxmlformats.org/officeDocument/2006/relationships/hyperlink" Target="https://en.wikipedia.org/wiki/Immune_system" TargetMode="External"/><Relationship Id="rId174" Type="http://schemas.openxmlformats.org/officeDocument/2006/relationships/hyperlink" Target="https://en.wikipedia.org/wiki/Lactobacillus" TargetMode="External"/><Relationship Id="rId179" Type="http://schemas.openxmlformats.org/officeDocument/2006/relationships/hyperlink" Target="https://en.wikipedia.org/wiki/Post-surgical_infections" TargetMode="External"/><Relationship Id="rId195" Type="http://schemas.openxmlformats.org/officeDocument/2006/relationships/hyperlink" Target="https://en.wikipedia.org/wiki/Phagocytosis" TargetMode="External"/><Relationship Id="rId209" Type="http://schemas.openxmlformats.org/officeDocument/2006/relationships/hyperlink" Target="https://en.wikipedia.org/wiki/Phagocyte" TargetMode="External"/><Relationship Id="rId190" Type="http://schemas.openxmlformats.org/officeDocument/2006/relationships/hyperlink" Target="https://en.wikipedia.org/wiki/Eosinophil_granulocyte" TargetMode="External"/><Relationship Id="rId204" Type="http://schemas.openxmlformats.org/officeDocument/2006/relationships/hyperlink" Target="https://en.wikipedia.org/wiki/Immune_system" TargetMode="External"/><Relationship Id="rId220" Type="http://schemas.openxmlformats.org/officeDocument/2006/relationships/hyperlink" Target="https://en.wikipedia.org/wiki/Immune_system" TargetMode="External"/><Relationship Id="rId225" Type="http://schemas.openxmlformats.org/officeDocument/2006/relationships/hyperlink" Target="https://en.wikipedia.org/wiki/T_cell" TargetMode="External"/><Relationship Id="rId241" Type="http://schemas.openxmlformats.org/officeDocument/2006/relationships/hyperlink" Target="https://en.wikipedia.org/wiki/Common_lymphoid_progenitor" TargetMode="External"/><Relationship Id="rId246" Type="http://schemas.openxmlformats.org/officeDocument/2006/relationships/hyperlink" Target="https://en.wikipedia.org/wiki/Immune_system" TargetMode="External"/><Relationship Id="rId267" Type="http://schemas.openxmlformats.org/officeDocument/2006/relationships/hyperlink" Target="https://en.wikipedia.org/wiki/Interferon" TargetMode="External"/><Relationship Id="rId288" Type="http://schemas.openxmlformats.org/officeDocument/2006/relationships/hyperlink" Target="https://en.wikipedia.org/wiki/Vascular_permeability" TargetMode="External"/><Relationship Id="rId15" Type="http://schemas.openxmlformats.org/officeDocument/2006/relationships/hyperlink" Target="https://en.wikipedia.org/wiki/Geography" TargetMode="External"/><Relationship Id="rId36" Type="http://schemas.openxmlformats.org/officeDocument/2006/relationships/hyperlink" Target="https://en.wikipedia.org/wiki/Instinct" TargetMode="External"/><Relationship Id="rId57" Type="http://schemas.openxmlformats.org/officeDocument/2006/relationships/hyperlink" Target="https://en.wikipedia.org/wiki/Pathogen" TargetMode="External"/><Relationship Id="rId106" Type="http://schemas.openxmlformats.org/officeDocument/2006/relationships/hyperlink" Target="https://en.wikipedia.org/wiki/Protein" TargetMode="External"/><Relationship Id="rId127" Type="http://schemas.openxmlformats.org/officeDocument/2006/relationships/hyperlink" Target="https://en.wikipedia.org/wiki/Insect" TargetMode="External"/><Relationship Id="rId262" Type="http://schemas.openxmlformats.org/officeDocument/2006/relationships/hyperlink" Target="https://en.wikipedia.org/wiki/Immune_system" TargetMode="External"/><Relationship Id="rId283" Type="http://schemas.openxmlformats.org/officeDocument/2006/relationships/hyperlink" Target="https://en.wikipedia.org/wiki/Immune_system" TargetMode="External"/><Relationship Id="rId313" Type="http://schemas.openxmlformats.org/officeDocument/2006/relationships/hyperlink" Target="https://en.wikipedia.org/wiki/Immune_system" TargetMode="External"/><Relationship Id="rId318" Type="http://schemas.openxmlformats.org/officeDocument/2006/relationships/hyperlink" Target="https://en.wikipedia.org/wiki/Perforin" TargetMode="External"/><Relationship Id="rId339" Type="http://schemas.openxmlformats.org/officeDocument/2006/relationships/hyperlink" Target="https://en.wikipedia.org/wiki/TNF-alpha" TargetMode="External"/><Relationship Id="rId10" Type="http://schemas.openxmlformats.org/officeDocument/2006/relationships/hyperlink" Target="https://en.wikipedia.org/wiki/Medicine" TargetMode="External"/><Relationship Id="rId31" Type="http://schemas.openxmlformats.org/officeDocument/2006/relationships/hyperlink" Target="https://en.wikipedia.org/wiki/Disease" TargetMode="External"/><Relationship Id="rId52" Type="http://schemas.openxmlformats.org/officeDocument/2006/relationships/hyperlink" Target="https://en.wikipedia.org/wiki/Consilience_(book)" TargetMode="External"/><Relationship Id="rId73" Type="http://schemas.openxmlformats.org/officeDocument/2006/relationships/hyperlink" Target="https://en.wikipedia.org/wiki/Enzyme" TargetMode="External"/><Relationship Id="rId78" Type="http://schemas.openxmlformats.org/officeDocument/2006/relationships/hyperlink" Target="https://en.wikipedia.org/wiki/Defensin" TargetMode="External"/><Relationship Id="rId94" Type="http://schemas.openxmlformats.org/officeDocument/2006/relationships/hyperlink" Target="https://en.wikipedia.org/wiki/Rheumatoid_arthritis" TargetMode="External"/><Relationship Id="rId99" Type="http://schemas.openxmlformats.org/officeDocument/2006/relationships/hyperlink" Target="https://en.wikipedia.org/wiki/Immune_system" TargetMode="External"/><Relationship Id="rId101" Type="http://schemas.openxmlformats.org/officeDocument/2006/relationships/hyperlink" Target="https://en.wikipedia.org/wiki/Immune_system" TargetMode="External"/><Relationship Id="rId122" Type="http://schemas.openxmlformats.org/officeDocument/2006/relationships/hyperlink" Target="https://en.wikipedia.org/wiki/Immune_system" TargetMode="External"/><Relationship Id="rId143" Type="http://schemas.openxmlformats.org/officeDocument/2006/relationships/hyperlink" Target="https://en.wikipedia.org/wiki/Immune_system" TargetMode="External"/><Relationship Id="rId148" Type="http://schemas.openxmlformats.org/officeDocument/2006/relationships/hyperlink" Target="https://en.wikipedia.org/wiki/Phospholipase_A2" TargetMode="External"/><Relationship Id="rId164" Type="http://schemas.openxmlformats.org/officeDocument/2006/relationships/hyperlink" Target="https://en.wikipedia.org/wiki/Commensalism" TargetMode="External"/><Relationship Id="rId169" Type="http://schemas.openxmlformats.org/officeDocument/2006/relationships/hyperlink" Target="https://en.wikipedia.org/wiki/Antibiotic" TargetMode="External"/><Relationship Id="rId185" Type="http://schemas.openxmlformats.org/officeDocument/2006/relationships/hyperlink" Target="https://en.wikipedia.org/wiki/Macrophage" TargetMode="External"/><Relationship Id="rId334" Type="http://schemas.openxmlformats.org/officeDocument/2006/relationships/hyperlink" Target="https://en.wikipedia.org/wiki/Immune_system" TargetMode="External"/><Relationship Id="rId35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n.wikipedia.org/wiki/Etiology" TargetMode="External"/><Relationship Id="rId180" Type="http://schemas.openxmlformats.org/officeDocument/2006/relationships/hyperlink" Target="https://en.wikipedia.org/wiki/Immune_system" TargetMode="External"/><Relationship Id="rId210" Type="http://schemas.openxmlformats.org/officeDocument/2006/relationships/hyperlink" Target="https://en.wikipedia.org/wiki/Immune_system" TargetMode="External"/><Relationship Id="rId215" Type="http://schemas.openxmlformats.org/officeDocument/2006/relationships/hyperlink" Target="https://en.wikipedia.org/wiki/Antigen-presenting_cell" TargetMode="External"/><Relationship Id="rId236" Type="http://schemas.openxmlformats.org/officeDocument/2006/relationships/hyperlink" Target="https://en.wikipedia.org/wiki/Parasitism" TargetMode="External"/><Relationship Id="rId257" Type="http://schemas.openxmlformats.org/officeDocument/2006/relationships/hyperlink" Target="https://en.wikipedia.org/wiki/Fever" TargetMode="External"/><Relationship Id="rId278" Type="http://schemas.openxmlformats.org/officeDocument/2006/relationships/hyperlink" Target="https://en.wikipedia.org/wiki/Invertebrate" TargetMode="External"/><Relationship Id="rId26" Type="http://schemas.openxmlformats.org/officeDocument/2006/relationships/hyperlink" Target="https://en.wikipedia.org/wiki/Prognosis" TargetMode="External"/><Relationship Id="rId231" Type="http://schemas.openxmlformats.org/officeDocument/2006/relationships/hyperlink" Target="https://en.wikipedia.org/wiki/Allergy" TargetMode="External"/><Relationship Id="rId252" Type="http://schemas.openxmlformats.org/officeDocument/2006/relationships/hyperlink" Target="https://en.wikipedia.org/wiki/Immune_system" TargetMode="External"/><Relationship Id="rId273" Type="http://schemas.openxmlformats.org/officeDocument/2006/relationships/hyperlink" Target="https://en.wikipedia.org/wiki/Biochemical_cascade" TargetMode="External"/><Relationship Id="rId294" Type="http://schemas.openxmlformats.org/officeDocument/2006/relationships/hyperlink" Target="https://en.wikipedia.org/wiki/Hematopoietic_stem_cell" TargetMode="External"/><Relationship Id="rId308" Type="http://schemas.openxmlformats.org/officeDocument/2006/relationships/hyperlink" Target="https://en.wikipedia.org/wiki/Immune_system" TargetMode="External"/><Relationship Id="rId329" Type="http://schemas.openxmlformats.org/officeDocument/2006/relationships/hyperlink" Target="https://en.wikipedia.org/wiki/Lck" TargetMode="External"/><Relationship Id="rId47" Type="http://schemas.openxmlformats.org/officeDocument/2006/relationships/hyperlink" Target="https://en.wikipedia.org/wiki/Twins" TargetMode="External"/><Relationship Id="rId68" Type="http://schemas.openxmlformats.org/officeDocument/2006/relationships/hyperlink" Target="https://en.wikipedia.org/wiki/Neuroimmune_system" TargetMode="External"/><Relationship Id="rId89" Type="http://schemas.openxmlformats.org/officeDocument/2006/relationships/hyperlink" Target="https://en.wikipedia.org/wiki/Severe_combined_immunodeficiency" TargetMode="External"/><Relationship Id="rId112" Type="http://schemas.openxmlformats.org/officeDocument/2006/relationships/hyperlink" Target="https://en.wikipedia.org/wiki/Damage-associated_molecular_patterns" TargetMode="External"/><Relationship Id="rId133" Type="http://schemas.openxmlformats.org/officeDocument/2006/relationships/hyperlink" Target="https://en.wikipedia.org/wiki/Intestine" TargetMode="External"/><Relationship Id="rId154" Type="http://schemas.openxmlformats.org/officeDocument/2006/relationships/hyperlink" Target="https://en.wikipedia.org/wiki/Vagina" TargetMode="External"/><Relationship Id="rId175" Type="http://schemas.openxmlformats.org/officeDocument/2006/relationships/hyperlink" Target="https://en.wikipedia.org/wiki/Yogurt" TargetMode="External"/><Relationship Id="rId340" Type="http://schemas.openxmlformats.org/officeDocument/2006/relationships/hyperlink" Target="https://en.wikipedia.org/wiki/IFN-gamma" TargetMode="External"/><Relationship Id="rId196" Type="http://schemas.openxmlformats.org/officeDocument/2006/relationships/hyperlink" Target="https://en.wikipedia.org/wiki/Immune_system" TargetMode="External"/><Relationship Id="rId200" Type="http://schemas.openxmlformats.org/officeDocument/2006/relationships/hyperlink" Target="https://en.wikipedia.org/wiki/Phagolysosome" TargetMode="External"/><Relationship Id="rId16" Type="http://schemas.openxmlformats.org/officeDocument/2006/relationships/hyperlink" Target="https://en.wikipedia.org/wiki/Spatial_analysis" TargetMode="External"/><Relationship Id="rId221" Type="http://schemas.openxmlformats.org/officeDocument/2006/relationships/hyperlink" Target="https://en.wikipedia.org/wiki/Neuron" TargetMode="External"/><Relationship Id="rId242" Type="http://schemas.openxmlformats.org/officeDocument/2006/relationships/hyperlink" Target="https://en.wikipedia.org/wiki/Lymphopoiesis" TargetMode="External"/><Relationship Id="rId263" Type="http://schemas.openxmlformats.org/officeDocument/2006/relationships/hyperlink" Target="https://en.wikipedia.org/wiki/Immune_system" TargetMode="External"/><Relationship Id="rId284" Type="http://schemas.openxmlformats.org/officeDocument/2006/relationships/hyperlink" Target="https://en.wikipedia.org/wiki/Proteolysis" TargetMode="External"/><Relationship Id="rId319" Type="http://schemas.openxmlformats.org/officeDocument/2006/relationships/hyperlink" Target="https://en.wikipedia.org/wiki/Cell_membrane" TargetMode="External"/><Relationship Id="rId37" Type="http://schemas.openxmlformats.org/officeDocument/2006/relationships/hyperlink" Target="https://en.wikipedia.org/wiki/Ethology" TargetMode="External"/><Relationship Id="rId58" Type="http://schemas.openxmlformats.org/officeDocument/2006/relationships/hyperlink" Target="https://en.wikipedia.org/wiki/Virus" TargetMode="External"/><Relationship Id="rId79" Type="http://schemas.openxmlformats.org/officeDocument/2006/relationships/hyperlink" Target="https://en.wikipedia.org/wiki/Complement_system" TargetMode="External"/><Relationship Id="rId102" Type="http://schemas.openxmlformats.org/officeDocument/2006/relationships/hyperlink" Target="https://en.wikipedia.org/wiki/Immunity_(medical)" TargetMode="External"/><Relationship Id="rId123" Type="http://schemas.openxmlformats.org/officeDocument/2006/relationships/hyperlink" Target="https://en.wikipedia.org/wiki/Immune_system" TargetMode="External"/><Relationship Id="rId144" Type="http://schemas.openxmlformats.org/officeDocument/2006/relationships/hyperlink" Target="https://en.wikipedia.org/wiki/Antimicrobial_peptides" TargetMode="External"/><Relationship Id="rId330" Type="http://schemas.openxmlformats.org/officeDocument/2006/relationships/hyperlink" Target="https://en.wikipedia.org/wiki/Immune_system" TargetMode="External"/><Relationship Id="rId90" Type="http://schemas.openxmlformats.org/officeDocument/2006/relationships/hyperlink" Target="https://en.wikipedia.org/wiki/HIV" TargetMode="External"/><Relationship Id="rId165" Type="http://schemas.openxmlformats.org/officeDocument/2006/relationships/hyperlink" Target="https://en.wikipedia.org/wiki/Gut_flora" TargetMode="External"/><Relationship Id="rId186" Type="http://schemas.openxmlformats.org/officeDocument/2006/relationships/hyperlink" Target="https://en.wikipedia.org/wiki/Neutrophil_granulocyte" TargetMode="External"/><Relationship Id="rId351" Type="http://schemas.openxmlformats.org/officeDocument/2006/relationships/theme" Target="theme/theme1.xml"/><Relationship Id="rId211" Type="http://schemas.openxmlformats.org/officeDocument/2006/relationships/hyperlink" Target="https://en.wikipedia.org/wiki/Circulatory_system" TargetMode="External"/><Relationship Id="rId232" Type="http://schemas.openxmlformats.org/officeDocument/2006/relationships/hyperlink" Target="https://en.wikipedia.org/wiki/Anaphylaxis" TargetMode="External"/><Relationship Id="rId253" Type="http://schemas.openxmlformats.org/officeDocument/2006/relationships/hyperlink" Target="https://en.wikipedia.org/wiki/Blood" TargetMode="External"/><Relationship Id="rId274" Type="http://schemas.openxmlformats.org/officeDocument/2006/relationships/hyperlink" Target="https://en.wikipedia.org/wiki/Antibody" TargetMode="External"/><Relationship Id="rId295" Type="http://schemas.openxmlformats.org/officeDocument/2006/relationships/hyperlink" Target="https://en.wikipedia.org/wiki/Bone_marrow" TargetMode="External"/><Relationship Id="rId309" Type="http://schemas.openxmlformats.org/officeDocument/2006/relationships/hyperlink" Target="https://en.wikipedia.org/wiki/Cytotoxic_T_cell" TargetMode="External"/><Relationship Id="rId27" Type="http://schemas.openxmlformats.org/officeDocument/2006/relationships/hyperlink" Target="https://en.wikipedia.org/wiki/Genetics" TargetMode="External"/><Relationship Id="rId48" Type="http://schemas.openxmlformats.org/officeDocument/2006/relationships/hyperlink" Target="https://en.wikipedia.org/wiki/Journal_of_Mental_Science" TargetMode="External"/><Relationship Id="rId69" Type="http://schemas.openxmlformats.org/officeDocument/2006/relationships/hyperlink" Target="https://en.wikipedia.org/wiki/Human_brain" TargetMode="External"/><Relationship Id="rId113" Type="http://schemas.openxmlformats.org/officeDocument/2006/relationships/hyperlink" Target="https://en.wikipedia.org/wiki/Toll-like_receptor" TargetMode="External"/><Relationship Id="rId134" Type="http://schemas.openxmlformats.org/officeDocument/2006/relationships/hyperlink" Target="https://en.wikipedia.org/wiki/Genitourinary_system" TargetMode="External"/><Relationship Id="rId320" Type="http://schemas.openxmlformats.org/officeDocument/2006/relationships/hyperlink" Target="https://en.wikipedia.org/wiki/Ion" TargetMode="External"/><Relationship Id="rId80" Type="http://schemas.openxmlformats.org/officeDocument/2006/relationships/hyperlink" Target="https://en.wikipedia.org/wiki/Jawed_vertebrate" TargetMode="External"/><Relationship Id="rId155" Type="http://schemas.openxmlformats.org/officeDocument/2006/relationships/hyperlink" Target="https://en.wikipedia.org/wiki/Menarche" TargetMode="External"/><Relationship Id="rId176" Type="http://schemas.openxmlformats.org/officeDocument/2006/relationships/hyperlink" Target="https://en.wikipedia.org/wiki/Bacterial_gastroenteritis" TargetMode="External"/><Relationship Id="rId197" Type="http://schemas.openxmlformats.org/officeDocument/2006/relationships/hyperlink" Target="https://en.wikipedia.org/wiki/Vesicle_(biology)" TargetMode="External"/><Relationship Id="rId341" Type="http://schemas.openxmlformats.org/officeDocument/2006/relationships/hyperlink" Target="https://en.wikipedia.org/wiki/Th1_cell" TargetMode="External"/><Relationship Id="rId201" Type="http://schemas.openxmlformats.org/officeDocument/2006/relationships/hyperlink" Target="https://en.wikipedia.org/wiki/Respiratory_burst" TargetMode="External"/><Relationship Id="rId222" Type="http://schemas.openxmlformats.org/officeDocument/2006/relationships/hyperlink" Target="https://en.wikipedia.org/wiki/Dendrite" TargetMode="External"/><Relationship Id="rId243" Type="http://schemas.openxmlformats.org/officeDocument/2006/relationships/hyperlink" Target="https://en.wikipedia.org/wiki/B-cell_receptor" TargetMode="External"/><Relationship Id="rId264" Type="http://schemas.openxmlformats.org/officeDocument/2006/relationships/hyperlink" Target="https://en.wikipedia.org/wiki/Interleukin" TargetMode="External"/><Relationship Id="rId285" Type="http://schemas.openxmlformats.org/officeDocument/2006/relationships/hyperlink" Target="https://en.wikipedia.org/wiki/Catalysis" TargetMode="External"/><Relationship Id="rId17" Type="http://schemas.openxmlformats.org/officeDocument/2006/relationships/hyperlink" Target="https://en.wikipedia.org/wiki/Theology" TargetMode="External"/><Relationship Id="rId38" Type="http://schemas.openxmlformats.org/officeDocument/2006/relationships/hyperlink" Target="https://en.wikipedia.org/wiki/Ethology" TargetMode="External"/><Relationship Id="rId59" Type="http://schemas.openxmlformats.org/officeDocument/2006/relationships/hyperlink" Target="https://en.wikipedia.org/wiki/Parasitic_worm" TargetMode="External"/><Relationship Id="rId103" Type="http://schemas.openxmlformats.org/officeDocument/2006/relationships/hyperlink" Target="https://en.wikipedia.org/wiki/Immune_system" TargetMode="External"/><Relationship Id="rId124" Type="http://schemas.openxmlformats.org/officeDocument/2006/relationships/hyperlink" Target="https://en.wikipedia.org/wiki/Plant_cuticle" TargetMode="External"/><Relationship Id="rId310" Type="http://schemas.openxmlformats.org/officeDocument/2006/relationships/hyperlink" Target="https://en.wikipedia.org/wiki/T_helper_cell" TargetMode="External"/><Relationship Id="rId70" Type="http://schemas.openxmlformats.org/officeDocument/2006/relationships/hyperlink" Target="https://en.wikipedia.org/wiki/Evolution" TargetMode="External"/><Relationship Id="rId91" Type="http://schemas.openxmlformats.org/officeDocument/2006/relationships/hyperlink" Target="https://en.wikipedia.org/wiki/AIDS" TargetMode="External"/><Relationship Id="rId145" Type="http://schemas.openxmlformats.org/officeDocument/2006/relationships/hyperlink" Target="https://en.wikipedia.org/wiki/Immune_system" TargetMode="External"/><Relationship Id="rId166" Type="http://schemas.openxmlformats.org/officeDocument/2006/relationships/hyperlink" Target="https://en.wikipedia.org/wiki/PH" TargetMode="External"/><Relationship Id="rId187" Type="http://schemas.openxmlformats.org/officeDocument/2006/relationships/hyperlink" Target="https://en.wikipedia.org/wiki/Dendritic_cell" TargetMode="External"/><Relationship Id="rId331" Type="http://schemas.openxmlformats.org/officeDocument/2006/relationships/hyperlink" Target="https://en.wikipedia.org/wiki/Immune_system" TargetMode="External"/><Relationship Id="rId1" Type="http://schemas.openxmlformats.org/officeDocument/2006/relationships/numbering" Target="numbering.xml"/><Relationship Id="rId212" Type="http://schemas.openxmlformats.org/officeDocument/2006/relationships/hyperlink" Target="https://en.wikipedia.org/wiki/Immune_system" TargetMode="External"/><Relationship Id="rId233" Type="http://schemas.openxmlformats.org/officeDocument/2006/relationships/hyperlink" Target="https://en.wikipedia.org/wiki/Immune_system" TargetMode="External"/><Relationship Id="rId254" Type="http://schemas.openxmlformats.org/officeDocument/2006/relationships/hyperlink" Target="https://en.wikipedia.org/wiki/Eicosanoid" TargetMode="External"/><Relationship Id="rId28" Type="http://schemas.openxmlformats.org/officeDocument/2006/relationships/hyperlink" Target="https://en.wikipedia.org/wiki/Phenotypic" TargetMode="External"/><Relationship Id="rId49" Type="http://schemas.openxmlformats.org/officeDocument/2006/relationships/hyperlink" Target="https://en.wikipedia.org/wiki/Genetic_predisposition" TargetMode="External"/><Relationship Id="rId114" Type="http://schemas.openxmlformats.org/officeDocument/2006/relationships/hyperlink" Target="https://en.wikipedia.org/wiki/Immune_system" TargetMode="External"/><Relationship Id="rId275" Type="http://schemas.openxmlformats.org/officeDocument/2006/relationships/hyperlink" Target="https://en.wikipedia.org/wiki/Immune_system" TargetMode="External"/><Relationship Id="rId296" Type="http://schemas.openxmlformats.org/officeDocument/2006/relationships/hyperlink" Target="https://en.wikipedia.org/wiki/Immune_system" TargetMode="External"/><Relationship Id="rId300" Type="http://schemas.openxmlformats.org/officeDocument/2006/relationships/hyperlink" Target="https://en.wikipedia.org/wiki/Major_histocompatibility_complex" TargetMode="External"/><Relationship Id="rId60" Type="http://schemas.openxmlformats.org/officeDocument/2006/relationships/hyperlink" Target="https://en.wikipedia.org/wiki/Major_histocompatibility_complex" TargetMode="External"/><Relationship Id="rId81" Type="http://schemas.openxmlformats.org/officeDocument/2006/relationships/hyperlink" Target="https://en.wikipedia.org/wiki/Immunological_memory" TargetMode="External"/><Relationship Id="rId135" Type="http://schemas.openxmlformats.org/officeDocument/2006/relationships/hyperlink" Target="https://en.wikipedia.org/wiki/Cough" TargetMode="External"/><Relationship Id="rId156" Type="http://schemas.openxmlformats.org/officeDocument/2006/relationships/hyperlink" Target="https://en.wikipedia.org/wiki/Acid" TargetMode="External"/><Relationship Id="rId177" Type="http://schemas.openxmlformats.org/officeDocument/2006/relationships/hyperlink" Target="https://en.wikipedia.org/wiki/Inflammatory_bowel_disease" TargetMode="External"/><Relationship Id="rId198" Type="http://schemas.openxmlformats.org/officeDocument/2006/relationships/hyperlink" Target="https://en.wikipedia.org/wiki/Phagosome" TargetMode="External"/><Relationship Id="rId321" Type="http://schemas.openxmlformats.org/officeDocument/2006/relationships/hyperlink" Target="https://en.wikipedia.org/wiki/Granulysin" TargetMode="External"/><Relationship Id="rId342" Type="http://schemas.openxmlformats.org/officeDocument/2006/relationships/hyperlink" Target="https://en.wikipedia.org/wiki/Immune_system" TargetMode="External"/><Relationship Id="rId202" Type="http://schemas.openxmlformats.org/officeDocument/2006/relationships/hyperlink" Target="https://en.wikipedia.org/wiki/Radical_(chemistry)" TargetMode="External"/><Relationship Id="rId223" Type="http://schemas.openxmlformats.org/officeDocument/2006/relationships/hyperlink" Target="https://en.wikipedia.org/wiki/Nervous_system" TargetMode="External"/><Relationship Id="rId244" Type="http://schemas.openxmlformats.org/officeDocument/2006/relationships/hyperlink" Target="https://en.wikipedia.org/wiki/T-cell_receptor" TargetMode="External"/><Relationship Id="rId18" Type="http://schemas.openxmlformats.org/officeDocument/2006/relationships/hyperlink" Target="https://en.wikipedia.org/wiki/Biology" TargetMode="External"/><Relationship Id="rId39" Type="http://schemas.openxmlformats.org/officeDocument/2006/relationships/hyperlink" Target="https://en.wikipedia.org/wiki/Daniel_Dennett" TargetMode="External"/><Relationship Id="rId265" Type="http://schemas.openxmlformats.org/officeDocument/2006/relationships/hyperlink" Target="https://en.wikipedia.org/wiki/Chemokine" TargetMode="External"/><Relationship Id="rId286" Type="http://schemas.openxmlformats.org/officeDocument/2006/relationships/hyperlink" Target="https://en.wikipedia.org/wiki/Positive_feedback" TargetMode="External"/><Relationship Id="rId50" Type="http://schemas.openxmlformats.org/officeDocument/2006/relationships/hyperlink" Target="https://en.wikipedia.org/wiki/Edward_Osborne_Wilson" TargetMode="External"/><Relationship Id="rId104" Type="http://schemas.openxmlformats.org/officeDocument/2006/relationships/hyperlink" Target="https://en.wikipedia.org/wiki/Pattern_recognition_receptor" TargetMode="External"/><Relationship Id="rId125" Type="http://schemas.openxmlformats.org/officeDocument/2006/relationships/hyperlink" Target="https://en.wikipedia.org/wiki/Leaf" TargetMode="External"/><Relationship Id="rId146" Type="http://schemas.openxmlformats.org/officeDocument/2006/relationships/hyperlink" Target="https://en.wikipedia.org/wiki/Enzyme" TargetMode="External"/><Relationship Id="rId167" Type="http://schemas.openxmlformats.org/officeDocument/2006/relationships/hyperlink" Target="https://en.wikipedia.org/wiki/Immune_system" TargetMode="External"/><Relationship Id="rId188" Type="http://schemas.openxmlformats.org/officeDocument/2006/relationships/hyperlink" Target="https://en.wikipedia.org/wiki/Innate_lymphoid_cell" TargetMode="External"/><Relationship Id="rId311" Type="http://schemas.openxmlformats.org/officeDocument/2006/relationships/hyperlink" Target="https://en.wikipedia.org/wiki/Regulatory_T_cells" TargetMode="External"/><Relationship Id="rId332" Type="http://schemas.openxmlformats.org/officeDocument/2006/relationships/hyperlink" Target="https://en.wikipedia.org/wiki/CD154" TargetMode="External"/><Relationship Id="rId71" Type="http://schemas.openxmlformats.org/officeDocument/2006/relationships/hyperlink" Target="https://en.wikipedia.org/wiki/Microorganism" TargetMode="External"/><Relationship Id="rId92" Type="http://schemas.openxmlformats.org/officeDocument/2006/relationships/hyperlink" Target="https://en.wikipedia.org/wiki/Autoimmunity" TargetMode="External"/><Relationship Id="rId213" Type="http://schemas.openxmlformats.org/officeDocument/2006/relationships/hyperlink" Target="https://en.wikipedia.org/wiki/Neutrophil" TargetMode="External"/><Relationship Id="rId234" Type="http://schemas.openxmlformats.org/officeDocument/2006/relationships/hyperlink" Target="https://en.wikipedia.org/wiki/Basophil" TargetMode="External"/><Relationship Id="rId2" Type="http://schemas.openxmlformats.org/officeDocument/2006/relationships/styles" Target="styles.xml"/><Relationship Id="rId29" Type="http://schemas.openxmlformats.org/officeDocument/2006/relationships/hyperlink" Target="https://en.wikipedia.org/wiki/Natural_environment" TargetMode="External"/><Relationship Id="rId255" Type="http://schemas.openxmlformats.org/officeDocument/2006/relationships/hyperlink" Target="https://en.wikipedia.org/wiki/Cytokine" TargetMode="External"/><Relationship Id="rId276" Type="http://schemas.openxmlformats.org/officeDocument/2006/relationships/hyperlink" Target="https://en.wikipedia.org/wiki/Immune_system" TargetMode="External"/><Relationship Id="rId297" Type="http://schemas.openxmlformats.org/officeDocument/2006/relationships/hyperlink" Target="https://en.wikipedia.org/wiki/Humoral_immunity" TargetMode="External"/><Relationship Id="rId40" Type="http://schemas.openxmlformats.org/officeDocument/2006/relationships/hyperlink" Target="https://en.wikipedia.org/wiki/Theory_of_mind" TargetMode="External"/><Relationship Id="rId115" Type="http://schemas.openxmlformats.org/officeDocument/2006/relationships/hyperlink" Target="https://en.wikipedia.org/wiki/Leucine-rich_repeat" TargetMode="External"/><Relationship Id="rId136" Type="http://schemas.openxmlformats.org/officeDocument/2006/relationships/hyperlink" Target="https://en.wikipedia.org/wiki/Sneeze" TargetMode="External"/><Relationship Id="rId157" Type="http://schemas.openxmlformats.org/officeDocument/2006/relationships/hyperlink" Target="https://en.wikipedia.org/wiki/Semen" TargetMode="External"/><Relationship Id="rId178" Type="http://schemas.openxmlformats.org/officeDocument/2006/relationships/hyperlink" Target="https://en.wikipedia.org/wiki/Urinary_tract_infection" TargetMode="External"/><Relationship Id="rId301" Type="http://schemas.openxmlformats.org/officeDocument/2006/relationships/hyperlink" Target="https://en.wikipedia.org/wiki/Gamma/delta_T_cells" TargetMode="External"/><Relationship Id="rId322" Type="http://schemas.openxmlformats.org/officeDocument/2006/relationships/hyperlink" Target="https://en.wikipedia.org/wiki/Apoptosis" TargetMode="External"/><Relationship Id="rId343" Type="http://schemas.openxmlformats.org/officeDocument/2006/relationships/hyperlink" Target="https://www.ncbi.nlm.nih.gov/books/NBK499994/" TargetMode="External"/><Relationship Id="rId61" Type="http://schemas.openxmlformats.org/officeDocument/2006/relationships/hyperlink" Target="https://en.wikipedia.org/wiki/Biological_tissue" TargetMode="External"/><Relationship Id="rId82" Type="http://schemas.openxmlformats.org/officeDocument/2006/relationships/hyperlink" Target="https://en.wikipedia.org/wiki/Vaccination" TargetMode="External"/><Relationship Id="rId199" Type="http://schemas.openxmlformats.org/officeDocument/2006/relationships/hyperlink" Target="https://en.wikipedia.org/wiki/Lysosome" TargetMode="External"/><Relationship Id="rId203" Type="http://schemas.openxmlformats.org/officeDocument/2006/relationships/hyperlink" Target="https://en.wikipedia.org/wiki/Immune_system" TargetMode="External"/><Relationship Id="rId19" Type="http://schemas.openxmlformats.org/officeDocument/2006/relationships/hyperlink" Target="https://en.wikipedia.org/wiki/Phenomena" TargetMode="External"/><Relationship Id="rId224" Type="http://schemas.openxmlformats.org/officeDocument/2006/relationships/hyperlink" Target="https://en.wikipedia.org/wiki/Antigen_presentation" TargetMode="External"/><Relationship Id="rId245" Type="http://schemas.openxmlformats.org/officeDocument/2006/relationships/hyperlink" Target="https://en.wikipedia.org/wiki/Recombination_activating_gene" TargetMode="External"/><Relationship Id="rId266" Type="http://schemas.openxmlformats.org/officeDocument/2006/relationships/hyperlink" Target="https://en.wikipedia.org/wiki/Chemotaxis" TargetMode="External"/><Relationship Id="rId287" Type="http://schemas.openxmlformats.org/officeDocument/2006/relationships/hyperlink" Target="https://en.wikipedia.org/wiki/Immune_system" TargetMode="External"/><Relationship Id="rId30" Type="http://schemas.openxmlformats.org/officeDocument/2006/relationships/hyperlink" Target="https://en.wikipedia.org/wiki/Genetic_susceptibility" TargetMode="External"/><Relationship Id="rId105" Type="http://schemas.openxmlformats.org/officeDocument/2006/relationships/hyperlink" Target="https://en.wikipedia.org/wiki/Immune_system" TargetMode="External"/><Relationship Id="rId126" Type="http://schemas.openxmlformats.org/officeDocument/2006/relationships/hyperlink" Target="https://en.wikipedia.org/wiki/Exoskeleton" TargetMode="External"/><Relationship Id="rId147" Type="http://schemas.openxmlformats.org/officeDocument/2006/relationships/hyperlink" Target="https://en.wikipedia.org/wiki/Lysozyme" TargetMode="External"/><Relationship Id="rId168" Type="http://schemas.openxmlformats.org/officeDocument/2006/relationships/hyperlink" Target="https://en.wikipedia.org/wiki/Microbial_symbiosis_and_immunity" TargetMode="External"/><Relationship Id="rId312" Type="http://schemas.openxmlformats.org/officeDocument/2006/relationships/hyperlink" Target="https://en.wikipedia.org/wiki/Cytotoxic_T_cell" TargetMode="External"/><Relationship Id="rId333" Type="http://schemas.openxmlformats.org/officeDocument/2006/relationships/hyperlink" Target="https://en.wikipedia.org/wiki/NFIL3" TargetMode="External"/><Relationship Id="rId51" Type="http://schemas.openxmlformats.org/officeDocument/2006/relationships/hyperlink" Target="https://en.wikipedia.org/wiki/Sociobiology:_The_New_Synthesis" TargetMode="External"/><Relationship Id="rId72" Type="http://schemas.openxmlformats.org/officeDocument/2006/relationships/hyperlink" Target="https://en.wikipedia.org/wiki/Bacteria" TargetMode="External"/><Relationship Id="rId93" Type="http://schemas.openxmlformats.org/officeDocument/2006/relationships/hyperlink" Target="https://en.wikipedia.org/wiki/Hashimoto%27s_thyroiditis" TargetMode="External"/><Relationship Id="rId189" Type="http://schemas.openxmlformats.org/officeDocument/2006/relationships/hyperlink" Target="https://en.wikipedia.org/wiki/Mast_cell" TargetMode="External"/><Relationship Id="rId3" Type="http://schemas.openxmlformats.org/officeDocument/2006/relationships/settings" Target="settings.xml"/><Relationship Id="rId214" Type="http://schemas.openxmlformats.org/officeDocument/2006/relationships/hyperlink" Target="https://en.wikipedia.org/wiki/Complement_system" TargetMode="External"/><Relationship Id="rId235" Type="http://schemas.openxmlformats.org/officeDocument/2006/relationships/hyperlink" Target="https://en.wikipedia.org/wiki/Eosinophil" TargetMode="External"/><Relationship Id="rId256" Type="http://schemas.openxmlformats.org/officeDocument/2006/relationships/hyperlink" Target="https://en.wikipedia.org/wiki/Prostaglandin" TargetMode="External"/><Relationship Id="rId277" Type="http://schemas.openxmlformats.org/officeDocument/2006/relationships/hyperlink" Target="https://en.wikipedia.org/wiki/Mammal" TargetMode="External"/><Relationship Id="rId298" Type="http://schemas.openxmlformats.org/officeDocument/2006/relationships/hyperlink" Target="https://en.wikipedia.org/wiki/Cell-mediated_immunity" TargetMode="External"/><Relationship Id="rId116" Type="http://schemas.openxmlformats.org/officeDocument/2006/relationships/hyperlink" Target="https://en.wikipedia.org/wiki/Immune_system" TargetMode="External"/><Relationship Id="rId137" Type="http://schemas.openxmlformats.org/officeDocument/2006/relationships/hyperlink" Target="https://en.wikipedia.org/wiki/Irritation" TargetMode="External"/><Relationship Id="rId158" Type="http://schemas.openxmlformats.org/officeDocument/2006/relationships/hyperlink" Target="https://en.wikipedia.org/wiki/Zinc" TargetMode="External"/><Relationship Id="rId302" Type="http://schemas.openxmlformats.org/officeDocument/2006/relationships/hyperlink" Target="https://en.wikipedia.org/wiki/Immune_system" TargetMode="External"/><Relationship Id="rId323" Type="http://schemas.openxmlformats.org/officeDocument/2006/relationships/hyperlink" Target="https://en.wikipedia.org/wiki/Immune_system" TargetMode="External"/><Relationship Id="rId344" Type="http://schemas.openxmlformats.org/officeDocument/2006/relationships/hyperlink" Target="https://www.ncbi.nlm.nih.gov/books/NBK4999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11473</Words>
  <Characters>65397</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76717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Rizwan</dc:creator>
  <cp:keywords/>
  <dc:description/>
  <cp:lastModifiedBy>Rizwan</cp:lastModifiedBy>
  <cp:revision>2</cp:revision>
  <dcterms:created xsi:type="dcterms:W3CDTF">2020-03-26T18:45:00Z</dcterms:created>
  <dcterms:modified xsi:type="dcterms:W3CDTF">2020-03-26T18:45:00Z</dcterms:modified>
</cp:coreProperties>
</file>